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5F5AB9" w:rsidRDefault="00854134" w:rsidP="00C267FD">
      <w:pPr>
        <w:spacing w:after="20"/>
        <w:jc w:val="center"/>
        <w:rPr>
          <w:rFonts w:ascii="Tahoma" w:hAnsi="Tahoma" w:cs="Tahoma"/>
          <w:i/>
          <w:sz w:val="28"/>
          <w:szCs w:val="28"/>
        </w:rPr>
      </w:pPr>
      <w:bookmarkStart w:id="0" w:name="_Toc125170279"/>
      <w:r>
        <w:rPr>
          <w:rFonts w:ascii="Tahoma" w:hAnsi="Tahoma" w:cs="Tahoma"/>
          <w:i/>
          <w:sz w:val="28"/>
          <w:szCs w:val="28"/>
        </w:rPr>
        <w:t>Contrato de Licença e Distribuição do Independent Software Vendor Royalty da Microsoft</w:t>
      </w:r>
      <w:bookmarkEnd w:id="0"/>
      <w:r>
        <w:rPr>
          <w:rFonts w:ascii="Tahoma" w:hAnsi="Tahoma" w:cs="Tahoma"/>
          <w:i/>
          <w:sz w:val="28"/>
          <w:szCs w:val="28"/>
        </w:rPr>
        <w:t xml:space="preserve"> </w:t>
      </w:r>
    </w:p>
    <w:p w14:paraId="22BB8B94" w14:textId="1AA2D2CC" w:rsidR="00854134" w:rsidRPr="00DD2A4B" w:rsidRDefault="00AF7DE6" w:rsidP="00C267FD">
      <w:pPr>
        <w:spacing w:before="240" w:after="240"/>
        <w:jc w:val="center"/>
        <w:rPr>
          <w:rFonts w:ascii="Tahoma" w:hAnsi="Tahoma" w:cs="Tahoma"/>
          <w:b/>
          <w:i/>
          <w:sz w:val="32"/>
          <w:szCs w:val="32"/>
        </w:rPr>
      </w:pPr>
      <w:r>
        <w:rPr>
          <w:rFonts w:ascii="Tahoma" w:hAnsi="Tahoma" w:cs="Tahoma"/>
          <w:b/>
          <w:i/>
          <w:sz w:val="32"/>
          <w:szCs w:val="32"/>
        </w:rPr>
        <w:t>LISTA DE PRODUTOS DO ISVR</w:t>
      </w:r>
    </w:p>
    <w:p w14:paraId="22BB8B95" w14:textId="16CA1AC5" w:rsidR="00F673DB" w:rsidRPr="008A46A3" w:rsidRDefault="002A18CD" w:rsidP="00DB58E3">
      <w:pPr>
        <w:pStyle w:val="Firstpara"/>
        <w:ind w:left="0"/>
        <w:jc w:val="both"/>
        <w:rPr>
          <w:rFonts w:ascii="Tahoma" w:hAnsi="Tahoma" w:cs="Tahoma"/>
        </w:rPr>
      </w:pPr>
      <w:r>
        <w:rPr>
          <w:rFonts w:ascii="Tahoma" w:hAnsi="Tahoma" w:cs="Tahoma"/>
        </w:rPr>
        <w:t xml:space="preserve">Os termos usados, mas não definidos, no presente documento possuem o mesmo significado que no Contrato de Licença e Distribuição de Royalties do ISV da Microsoft (o </w:t>
      </w:r>
      <w:r w:rsidR="00E0170A">
        <w:rPr>
          <w:rFonts w:ascii="Tahoma" w:hAnsi="Tahoma" w:cs="Tahoma"/>
        </w:rPr>
        <w:t>“</w:t>
      </w:r>
      <w:r>
        <w:rPr>
          <w:rFonts w:ascii="Tahoma" w:hAnsi="Tahoma" w:cs="Tahoma"/>
        </w:rPr>
        <w:t>Contrato</w:t>
      </w:r>
      <w:r w:rsidR="00E0170A">
        <w:rPr>
          <w:rFonts w:ascii="Tahoma" w:hAnsi="Tahoma" w:cs="Tahoma"/>
        </w:rPr>
        <w:t>”</w:t>
      </w:r>
      <w:r>
        <w:rPr>
          <w:rFonts w:ascii="Tahoma" w:hAnsi="Tahoma" w:cs="Tahoma"/>
        </w:rPr>
        <w:t xml:space="preserve">) ou no Contrato Academic de Licença e Distribuição de Royalties do ISV da Microsoft (o </w:t>
      </w:r>
      <w:r w:rsidR="00DB58E3">
        <w:rPr>
          <w:rFonts w:ascii="Tahoma" w:hAnsi="Tahoma" w:cs="Tahoma"/>
        </w:rPr>
        <w:t>“</w:t>
      </w:r>
      <w:r>
        <w:rPr>
          <w:rFonts w:ascii="Tahoma" w:hAnsi="Tahoma" w:cs="Tahoma"/>
        </w:rPr>
        <w:t>Contrato Academic</w:t>
      </w:r>
      <w:r w:rsidR="00897464">
        <w:rPr>
          <w:rFonts w:ascii="Tahoma" w:hAnsi="Tahoma" w:cs="Tahoma"/>
        </w:rPr>
        <w:t>”</w:t>
      </w:r>
      <w:r>
        <w:rPr>
          <w:rFonts w:ascii="Tahoma" w:hAnsi="Tahoma" w:cs="Tahoma"/>
        </w:rPr>
        <w:t>).</w:t>
      </w:r>
    </w:p>
    <w:p w14:paraId="22BB8B96" w14:textId="77777777" w:rsidR="00F673DB" w:rsidRPr="008A46A3" w:rsidRDefault="00F673DB" w:rsidP="00C267FD">
      <w:pPr>
        <w:pStyle w:val="Firstpara"/>
        <w:ind w:left="0"/>
        <w:jc w:val="both"/>
        <w:rPr>
          <w:rFonts w:ascii="Tahoma" w:hAnsi="Tahoma" w:cs="Tahoma"/>
        </w:rPr>
      </w:pPr>
    </w:p>
    <w:p w14:paraId="22BB8B97" w14:textId="77777777" w:rsidR="009F731B" w:rsidRPr="008A46A3" w:rsidRDefault="009F731B" w:rsidP="00C267FD">
      <w:pPr>
        <w:jc w:val="center"/>
        <w:rPr>
          <w:rFonts w:ascii="Tahoma" w:hAnsi="Tahoma" w:cs="Tahoma"/>
        </w:rPr>
      </w:pPr>
    </w:p>
    <w:p w14:paraId="22BB8B98" w14:textId="3436E518" w:rsidR="00D26BFF" w:rsidRPr="007E146D" w:rsidRDefault="00CC57D0" w:rsidP="00C267FD">
      <w:pPr>
        <w:pStyle w:val="Heading2"/>
        <w:keepNext w:val="0"/>
        <w:spacing w:after="0"/>
      </w:pPr>
      <w:r>
        <w:rPr>
          <w:rFonts w:ascii="Tahoma" w:hAnsi="Tahoma" w:cs="Tahoma"/>
          <w:color w:val="FF6600"/>
          <w:sz w:val="24"/>
          <w:szCs w:val="24"/>
        </w:rPr>
        <w:t>Alterações na Lista de Produtos</w:t>
      </w:r>
      <w:r>
        <w:rPr>
          <w:rFonts w:ascii="Tahoma" w:hAnsi="Tahoma" w:cs="Tahoma"/>
          <w:b w:val="0"/>
          <w:color w:val="FF6600"/>
        </w:rPr>
        <w:t xml:space="preserve"> </w:t>
      </w:r>
      <w:r>
        <w:rPr>
          <w:rFonts w:ascii="Tahoma" w:hAnsi="Tahoma" w:cs="Tahoma"/>
          <w:color w:val="FF6600"/>
          <w:sz w:val="24"/>
          <w:szCs w:val="24"/>
        </w:rPr>
        <w:t>do ISVR de Abril de 2015</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70"/>
        <w:gridCol w:w="5712"/>
      </w:tblGrid>
      <w:tr w:rsidR="00D26BFF" w:rsidRPr="00C267FD" w14:paraId="22BB8B9C" w14:textId="77777777" w:rsidTr="00114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bl>
    <w:p w14:paraId="3DF40B9F" w14:textId="02A21334" w:rsidR="003C6734" w:rsidRPr="008A46A3" w:rsidRDefault="003C6734" w:rsidP="00C267FD">
      <w:pPr>
        <w:rPr>
          <w:rFonts w:ascii="Tahoma" w:hAnsi="Tahoma" w:cs="Tahoma"/>
        </w:rPr>
      </w:pPr>
    </w:p>
    <w:p w14:paraId="489B2332" w14:textId="77777777" w:rsidR="003C6734" w:rsidRPr="008A46A3"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034F12">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8A46A3" w:rsidRDefault="00C267FD" w:rsidP="00C267FD">
      <w:pPr>
        <w:rPr>
          <w:rFonts w:ascii="Tahoma" w:hAnsi="Tahoma" w:cs="Tahoma"/>
        </w:rPr>
      </w:pPr>
    </w:p>
    <w:p w14:paraId="4A8DC3A7" w14:textId="7F0E625C" w:rsidR="00BD41AF" w:rsidRPr="00E47AE9" w:rsidRDefault="00BD41AF" w:rsidP="00BD41AF">
      <w:pPr>
        <w:spacing w:before="120"/>
        <w:jc w:val="both"/>
        <w:rPr>
          <w:rFonts w:ascii="Tahoma" w:hAnsi="Tahoma" w:cs="Tahoma"/>
          <w:b/>
          <w:color w:val="FF6600"/>
        </w:rPr>
      </w:pPr>
      <w:r w:rsidRPr="008A46A3">
        <w:rPr>
          <w:rFonts w:ascii="Tahoma" w:hAnsi="Tahoma" w:cs="Tahoma"/>
          <w:b/>
          <w:color w:val="FF6600"/>
        </w:rPr>
        <w:t>Microsoft</w:t>
      </w:r>
      <w:r>
        <w:rPr>
          <w:rFonts w:ascii="Tahoma" w:hAnsi="Tahoma" w:cs="Tahoma"/>
          <w:b/>
          <w:color w:val="FF6600"/>
        </w:rPr>
        <w:t xml:space="preserve"> Dynamics CRM</w:t>
      </w:r>
    </w:p>
    <w:p w14:paraId="3B97BCD4" w14:textId="616E6DD3" w:rsidR="00BD41AF" w:rsidRPr="008A46A3" w:rsidRDefault="00BD41AF" w:rsidP="00BD41AF">
      <w:pPr>
        <w:rPr>
          <w:rFonts w:ascii="Tahoma" w:hAnsi="Tahoma" w:cs="Tahoma"/>
        </w:rPr>
      </w:pPr>
      <w:r>
        <w:rPr>
          <w:rFonts w:ascii="Tahoma" w:hAnsi="Tahoma" w:cs="Tahoma"/>
        </w:rPr>
        <w:t xml:space="preserve">Os Clientes com Usuários Finais sob Manutenção Incorporada ativa para as licenças do </w:t>
      </w:r>
      <w:r>
        <w:rPr>
          <w:rFonts w:ascii="Tahoma" w:hAnsi="Tahoma" w:cs="Tahoma"/>
          <w:color w:val="000000"/>
        </w:rPr>
        <w:t>Microsoft Dynamics CRM 2011 ou versões anteriores poderão atualizar e distribuir o Microsoft Dynamics 2013/2015 conforme descrito na subseção Microsoft Dynamics da seção C) Concessões de Migração do Produto.</w:t>
      </w:r>
    </w:p>
    <w:p w14:paraId="375A66A3" w14:textId="77777777" w:rsidR="004E51A1" w:rsidRPr="008A46A3" w:rsidRDefault="004E51A1" w:rsidP="00BD4692">
      <w:pPr>
        <w:rPr>
          <w:rFonts w:ascii="Tahoma" w:hAnsi="Tahoma" w:cs="Tahoma"/>
        </w:rPr>
      </w:pPr>
    </w:p>
    <w:p w14:paraId="3DD8035C" w14:textId="77777777" w:rsidR="004E51A1" w:rsidRPr="008A46A3" w:rsidRDefault="004E51A1" w:rsidP="00BD4692">
      <w:pPr>
        <w:rPr>
          <w:rFonts w:ascii="Tahoma" w:hAnsi="Tahoma" w:cs="Tahoma"/>
        </w:rPr>
      </w:pPr>
    </w:p>
    <w:p w14:paraId="18EE3BBA" w14:textId="2305A775" w:rsidR="00FC4033" w:rsidRPr="008A46A3" w:rsidRDefault="00FC4033" w:rsidP="00BD4692">
      <w:pPr>
        <w:rPr>
          <w:rFonts w:ascii="Tahoma" w:hAnsi="Tahoma" w:cs="Tahoma"/>
        </w:rPr>
      </w:pPr>
    </w:p>
    <w:p w14:paraId="22BB8BB3" w14:textId="6766262D" w:rsidR="00F038FE" w:rsidRPr="008A46A3"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70"/>
        <w:gridCol w:w="2560"/>
        <w:gridCol w:w="450"/>
        <w:gridCol w:w="450"/>
        <w:gridCol w:w="450"/>
        <w:gridCol w:w="320"/>
      </w:tblGrid>
      <w:tr w:rsidR="00DE25DE" w:rsidRPr="008B10EB" w14:paraId="22BB8BB6" w14:textId="77777777" w:rsidTr="00782689">
        <w:tc>
          <w:tcPr>
            <w:tcW w:w="657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2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8B10EB" w14:paraId="22BB8BBA" w14:textId="77777777" w:rsidTr="00782689">
        <w:tc>
          <w:tcPr>
            <w:tcW w:w="657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rPr>
            </w:pPr>
          </w:p>
        </w:tc>
        <w:tc>
          <w:tcPr>
            <w:tcW w:w="39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BF" w14:textId="77777777" w:rsidTr="00782689">
        <w:tc>
          <w:tcPr>
            <w:tcW w:w="657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4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C5" w14:textId="77777777" w:rsidTr="00782689">
        <w:tc>
          <w:tcPr>
            <w:tcW w:w="657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0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CB" w14:textId="77777777" w:rsidTr="00782689">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rPr>
            </w:pPr>
            <w:bookmarkStart w:id="1" w:name="OLE_LINK1"/>
            <w:bookmarkStart w:id="2"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rPr>
            </w:pPr>
          </w:p>
        </w:tc>
      </w:tr>
      <w:tr w:rsidR="00DE25DE" w:rsidRPr="008B10EB" w14:paraId="22BB8BD1" w14:textId="77777777" w:rsidTr="00782689">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BD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BF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0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e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0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724F27" w:rsidRPr="008B10EB" w14:paraId="000D4AEE"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1B6A4A9D" w:rsidR="00724F27" w:rsidRPr="008B10EB" w:rsidRDefault="005451C0" w:rsidP="00C267FD">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041E03BF" w:rsidR="00724F27" w:rsidRPr="00206E89" w:rsidRDefault="005451C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BF6321" w:rsidRPr="008B10EB" w14:paraId="5DCDE502"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Pacote Multilíngue do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49"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4F"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55"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5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6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6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6D"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7F"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4247CA" w:rsidRPr="008B10EB" w14:paraId="26283F2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rPr>
            </w:pPr>
          </w:p>
        </w:tc>
      </w:tr>
      <w:tr w:rsidR="00DE25DE" w:rsidRPr="008B10EB" w14:paraId="22BB8C8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9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rPr>
            </w:pPr>
          </w:p>
        </w:tc>
      </w:tr>
      <w:tr w:rsidR="00034FB5" w:rsidRPr="008B10EB" w14:paraId="22BB8C9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9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A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A9"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rPr>
            </w:pPr>
          </w:p>
        </w:tc>
      </w:tr>
      <w:tr w:rsidR="00DE25DE" w:rsidRPr="008B10EB" w14:paraId="22BB8CD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D9"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E5"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EB"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1"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7"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D03"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8B10EB" w14:paraId="22BB8D09"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3" w:name="_Q.__Do_I_need_to_buy_Commerce_Serve"/>
      <w:bookmarkEnd w:id="1"/>
      <w:bookmarkEnd w:id="2"/>
      <w:bookmarkEnd w:id="3"/>
      <w:r>
        <w:rPr>
          <w:rFonts w:ascii="Tahoma" w:hAnsi="Tahoma" w:cs="Tahoma"/>
          <w:i/>
          <w:sz w:val="18"/>
          <w:szCs w:val="18"/>
        </w:rPr>
        <w:t xml:space="preserve">*Para os itens A, B, C e D da coluna direita, consulte os termos adicionais nas seções de A a D a seguir. </w:t>
      </w:r>
      <w:r>
        <w:rPr>
          <w:rFonts w:ascii="Tahoma" w:hAnsi="Tahoma" w:cs="Tahoma"/>
          <w:i/>
          <w:sz w:val="32"/>
          <w:szCs w:val="32"/>
        </w:rPr>
        <w:br w:type="page"/>
      </w:r>
    </w:p>
    <w:p w14:paraId="22BB8D0B" w14:textId="77777777" w:rsidR="00A26EDA" w:rsidRPr="007C05BE"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Termos Adicionais do Produto</w:t>
      </w:r>
    </w:p>
    <w:p w14:paraId="22BB8D0C" w14:textId="77777777" w:rsidR="00A26EDA" w:rsidRPr="00C472E7" w:rsidRDefault="00A26EDA" w:rsidP="00C267FD">
      <w:pPr>
        <w:jc w:val="both"/>
        <w:rPr>
          <w:rFonts w:ascii="Tahoma" w:hAnsi="Tahoma" w:cs="Tahoma"/>
        </w:rPr>
      </w:pPr>
    </w:p>
    <w:p w14:paraId="22BB8D0D" w14:textId="60C24D8C" w:rsidR="00CC3B64" w:rsidRPr="008A46A3" w:rsidRDefault="00CC3B64" w:rsidP="00C267FD">
      <w:pPr>
        <w:numPr>
          <w:ilvl w:val="0"/>
          <w:numId w:val="15"/>
        </w:numPr>
        <w:jc w:val="both"/>
        <w:rPr>
          <w:rFonts w:ascii="Tahoma" w:hAnsi="Tahoma" w:cs="Tahoma"/>
        </w:rPr>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2013, o Project Professional 2013 e o Visio 2013):</w:t>
      </w:r>
    </w:p>
    <w:p w14:paraId="22BB8D0E" w14:textId="77777777" w:rsidR="00CC3B64" w:rsidRPr="008A46A3" w:rsidRDefault="00CC3B64" w:rsidP="00C267FD">
      <w:pPr>
        <w:jc w:val="both"/>
        <w:rPr>
          <w:rFonts w:ascii="Tahoma" w:hAnsi="Tahoma" w:cs="Tahoma"/>
        </w:rPr>
      </w:pPr>
    </w:p>
    <w:p w14:paraId="22BB8D0F" w14:textId="224CF253" w:rsidR="00CC3B64" w:rsidRPr="008A46A3" w:rsidRDefault="00CC3B64" w:rsidP="00C267FD">
      <w:pPr>
        <w:numPr>
          <w:ilvl w:val="0"/>
          <w:numId w:val="3"/>
        </w:numPr>
        <w:ind w:left="1267"/>
        <w:jc w:val="both"/>
        <w:rPr>
          <w:rFonts w:ascii="Tahoma" w:hAnsi="Tahoma" w:cs="Tahoma"/>
        </w:rPr>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r w:rsidRPr="008A46A3">
        <w:rPr>
          <w:rFonts w:ascii="Tahoma" w:hAnsi="Tahoma" w:cs="Tahoma"/>
        </w:rPr>
        <w:t xml:space="preserve">). </w:t>
      </w:r>
    </w:p>
    <w:p w14:paraId="22BB8D10" w14:textId="06497436" w:rsidR="00554191" w:rsidRPr="008A46A3" w:rsidRDefault="00554191" w:rsidP="00C267FD">
      <w:pPr>
        <w:numPr>
          <w:ilvl w:val="0"/>
          <w:numId w:val="3"/>
        </w:numPr>
        <w:ind w:left="1267"/>
        <w:jc w:val="both"/>
        <w:rPr>
          <w:rFonts w:ascii="Tahoma" w:hAnsi="Tahoma" w:cs="Tahoma"/>
        </w:rPr>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2013</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2" w14:textId="77777777" w:rsidR="00CC3B64" w:rsidRPr="008A46A3" w:rsidRDefault="00CC3B64" w:rsidP="00C267FD">
      <w:pPr>
        <w:jc w:val="both"/>
        <w:rPr>
          <w:rFonts w:ascii="Tahoma" w:hAnsi="Tahoma" w:cs="Tahoma"/>
        </w:rPr>
      </w:pPr>
    </w:p>
    <w:p w14:paraId="22BB8D18" w14:textId="77777777" w:rsidR="00554191" w:rsidRPr="008A46A3" w:rsidRDefault="00554191" w:rsidP="00C267FD">
      <w:pPr>
        <w:pStyle w:val="ListParagraph"/>
        <w:ind w:left="1260"/>
        <w:jc w:val="both"/>
        <w:rPr>
          <w:rFonts w:ascii="Tahoma" w:hAnsi="Tahoma" w:cs="Tahoma"/>
        </w:rPr>
      </w:pPr>
    </w:p>
    <w:p w14:paraId="22BB8D19" w14:textId="46A47C1C" w:rsidR="00554191" w:rsidRPr="008A46A3" w:rsidRDefault="00554191" w:rsidP="00C267FD">
      <w:pPr>
        <w:pStyle w:val="ListParagraph"/>
        <w:numPr>
          <w:ilvl w:val="0"/>
          <w:numId w:val="15"/>
        </w:numPr>
        <w:rPr>
          <w:rFonts w:ascii="Tahoma" w:hAnsi="Tahoma" w:cs="Tahoma"/>
        </w:rPr>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22BB8D1A" w14:textId="77777777" w:rsidR="00554191" w:rsidRPr="008A46A3" w:rsidRDefault="00554191" w:rsidP="00C267FD">
      <w:pPr>
        <w:pStyle w:val="ListParagraph"/>
        <w:ind w:left="360"/>
        <w:rPr>
          <w:rFonts w:ascii="Tahoma" w:hAnsi="Tahoma" w:cs="Tahoma"/>
        </w:rPr>
      </w:pPr>
    </w:p>
    <w:p w14:paraId="7439A98F" w14:textId="6AF9C712" w:rsidR="00767B63" w:rsidRPr="008A46A3" w:rsidRDefault="00767B63" w:rsidP="00C267FD">
      <w:pPr>
        <w:pStyle w:val="ListParagraph"/>
        <w:numPr>
          <w:ilvl w:val="0"/>
          <w:numId w:val="30"/>
        </w:numPr>
        <w:ind w:left="1350"/>
        <w:rPr>
          <w:rFonts w:ascii="Tahoma" w:hAnsi="Tahoma" w:cs="Tahoma"/>
        </w:rPr>
      </w:pPr>
      <w:r>
        <w:rPr>
          <w:rFonts w:ascii="Tahoma" w:hAnsi="Tahoma" w:cs="Tahoma"/>
        </w:rPr>
        <w:t>Você inclua os Termos de Licença da Microsoft para os Produtos CAL no respectivo Contrato de Usuário Final e</w:t>
      </w:r>
    </w:p>
    <w:p w14:paraId="353F9AFD" w14:textId="538B3500" w:rsidR="00767B63" w:rsidRPr="008A46A3" w:rsidRDefault="00767B63" w:rsidP="00C267FD">
      <w:pPr>
        <w:pStyle w:val="ListParagraph"/>
        <w:numPr>
          <w:ilvl w:val="0"/>
          <w:numId w:val="30"/>
        </w:numPr>
        <w:ind w:left="1350"/>
        <w:rPr>
          <w:rFonts w:ascii="Tahoma" w:hAnsi="Tahoma" w:cs="Tahoma"/>
        </w:rPr>
      </w:pPr>
      <w:r>
        <w:rPr>
          <w:rFonts w:ascii="Tahoma" w:hAnsi="Tahoma" w:cs="Tahoma"/>
        </w:rPr>
        <w:t>Sua Solução Unificada use a versão apropriada da CAL de Serviço de Área de Trabalho Remota do Windows Server de acordo com a versão do componente do servidor do Windows Server usada.</w:t>
      </w:r>
    </w:p>
    <w:p w14:paraId="0B56EBB0" w14:textId="77777777" w:rsidR="00767B63" w:rsidRPr="008A46A3"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As Licenças de produtos de Licenças de Acesso para Cliente (CALs) dos Serviços de Área de Trabalho Remota (RDS):</w:t>
      </w:r>
    </w:p>
    <w:p w14:paraId="0DE5F140" w14:textId="77777777" w:rsidR="006A34DC" w:rsidRPr="008A46A3" w:rsidRDefault="006A34DC" w:rsidP="00C267FD">
      <w:pPr>
        <w:pStyle w:val="ListParagraph"/>
        <w:ind w:left="360"/>
        <w:rPr>
          <w:rFonts w:ascii="Tahoma" w:hAnsi="Tahoma" w:cs="Tahoma"/>
        </w:rPr>
      </w:pPr>
    </w:p>
    <w:p w14:paraId="50B95778" w14:textId="3D305FDD" w:rsidR="00767B63" w:rsidRPr="008A46A3" w:rsidRDefault="00767B63" w:rsidP="00C267FD">
      <w:pPr>
        <w:pStyle w:val="ListParagraph"/>
        <w:numPr>
          <w:ilvl w:val="0"/>
          <w:numId w:val="31"/>
        </w:numPr>
        <w:ind w:left="1260"/>
        <w:rPr>
          <w:rFonts w:ascii="Tahoma" w:hAnsi="Tahoma" w:cs="Tahoma"/>
        </w:rPr>
      </w:pPr>
      <w:r>
        <w:rPr>
          <w:rFonts w:ascii="Tahoma" w:hAnsi="Tahoma" w:cs="Tahoma"/>
          <w:bCs/>
          <w:iCs/>
          <w:color w:val="000000"/>
        </w:rPr>
        <w:t>CAL de Serviço de Área de Trabalho Remota do Windows Server 2012</w:t>
      </w:r>
    </w:p>
    <w:p w14:paraId="2C1630A5" w14:textId="71FBA0CF" w:rsidR="00767B63" w:rsidRPr="008A46A3" w:rsidRDefault="00767B63" w:rsidP="00C267FD">
      <w:pPr>
        <w:pStyle w:val="ListParagraph"/>
        <w:numPr>
          <w:ilvl w:val="0"/>
          <w:numId w:val="31"/>
        </w:numPr>
        <w:ind w:left="1260"/>
        <w:rPr>
          <w:rFonts w:ascii="Tahoma" w:hAnsi="Tahoma" w:cs="Tahoma"/>
        </w:rPr>
      </w:pPr>
      <w:r>
        <w:rPr>
          <w:rFonts w:ascii="Tahoma" w:hAnsi="Tahoma" w:cs="Tahoma"/>
          <w:bCs/>
          <w:iCs/>
          <w:color w:val="000000"/>
        </w:rPr>
        <w:t>CAL do Serviço de Área de Trabalho Remota do Windows Server 2008 R2 para clientes que executam o Windows Server 2008 ou 2008 R2</w:t>
      </w:r>
    </w:p>
    <w:p w14:paraId="410F8644" w14:textId="77777777" w:rsidR="00767B63" w:rsidRPr="008A46A3" w:rsidRDefault="00767B63" w:rsidP="00C267FD">
      <w:pPr>
        <w:pStyle w:val="ListParagraph"/>
        <w:ind w:left="360"/>
        <w:rPr>
          <w:rFonts w:ascii="Tahoma" w:hAnsi="Tahoma" w:cs="Tahoma"/>
        </w:rPr>
      </w:pPr>
    </w:p>
    <w:p w14:paraId="16047B0B" w14:textId="5D55118C" w:rsidR="00767B63" w:rsidRPr="008A46A3" w:rsidRDefault="006A34DC" w:rsidP="00C267FD">
      <w:pPr>
        <w:pStyle w:val="ListParagraph"/>
        <w:ind w:left="360"/>
        <w:rPr>
          <w:rFonts w:ascii="Tahoma" w:hAnsi="Tahoma" w:cs="Tahoma"/>
        </w:rPr>
      </w:pPr>
      <w:r>
        <w:rPr>
          <w:rFonts w:ascii="Tahoma" w:hAnsi="Tahoma" w:cs="Tahoma"/>
        </w:rPr>
        <w:t>Você NÃO poderá transferir o software para servidores do Windows Server como parte da sua Solução Unificada.</w:t>
      </w:r>
    </w:p>
    <w:p w14:paraId="6E67987B" w14:textId="77777777" w:rsidR="00767B63" w:rsidRPr="008A46A3" w:rsidRDefault="00767B63" w:rsidP="00C267FD">
      <w:pPr>
        <w:pStyle w:val="ListParagraph"/>
        <w:ind w:left="360"/>
        <w:rPr>
          <w:rFonts w:ascii="Tahoma" w:hAnsi="Tahoma" w:cs="Tahoma"/>
        </w:rPr>
      </w:pPr>
    </w:p>
    <w:p w14:paraId="22BB8D1B" w14:textId="7CA341C9" w:rsidR="00554191" w:rsidRPr="006026E7" w:rsidRDefault="006A34DC" w:rsidP="00C267FD">
      <w:pPr>
        <w:ind w:left="360"/>
        <w:rPr>
          <w:rFonts w:ascii="Tahoma" w:hAnsi="Tahoma" w:cs="Tahoma"/>
        </w:rPr>
      </w:pPr>
      <w:r w:rsidRPr="006026E7">
        <w:rPr>
          <w:rFonts w:ascii="Tahoma" w:hAnsi="Tahoma" w:cs="Tahoma"/>
        </w:rPr>
        <w:t xml:space="preserve">Você poderá obter as Chaves de Registro de Produto para a versão apropriada das CALs RDS entrando em contato com </w:t>
      </w:r>
      <w:hyperlink r:id="rId8" w:history="1">
        <w:r w:rsidRPr="006026E7">
          <w:rPr>
            <w:rStyle w:val="Hyperlink"/>
            <w:rFonts w:ascii="Tahoma" w:hAnsi="Tahoma" w:cs="Tahoma"/>
          </w:rPr>
          <w:t>isvroy@microsoft.com</w:t>
        </w:r>
      </w:hyperlink>
      <w:r w:rsidRPr="006026E7">
        <w:rPr>
          <w:rFonts w:ascii="Tahoma" w:hAnsi="Tahoma" w:cs="Tahoma"/>
        </w:rPr>
        <w:t xml:space="preserve"> ou com o distribuidor de ISV Royalty.</w:t>
      </w:r>
    </w:p>
    <w:p w14:paraId="0D0BB463" w14:textId="77777777" w:rsidR="00797681" w:rsidRPr="008A46A3" w:rsidRDefault="00797681" w:rsidP="00C267FD">
      <w:pPr>
        <w:pStyle w:val="ListParagraph"/>
        <w:ind w:left="360"/>
        <w:rPr>
          <w:rFonts w:ascii="Tahoma" w:hAnsi="Tahoma" w:cs="Tahoma"/>
        </w:rPr>
      </w:pPr>
    </w:p>
    <w:p w14:paraId="4E711EAB" w14:textId="31AEC4F9" w:rsidR="00797681" w:rsidRPr="008A46A3" w:rsidRDefault="00797681" w:rsidP="00C94D1E">
      <w:pPr>
        <w:pStyle w:val="ListParagraph"/>
        <w:numPr>
          <w:ilvl w:val="0"/>
          <w:numId w:val="15"/>
        </w:numPr>
        <w:rPr>
          <w:rFonts w:ascii="Tahoma" w:hAnsi="Tahoma" w:cs="Tahoma"/>
        </w:rPr>
      </w:pPr>
      <w:r>
        <w:rPr>
          <w:rFonts w:ascii="Tahoma" w:hAnsi="Tahoma" w:cs="Tahoma"/>
          <w:b/>
        </w:rPr>
        <w:t xml:space="preserve">System Center </w:t>
      </w:r>
      <w:r w:rsidRPr="008A46A3">
        <w:rPr>
          <w:rFonts w:ascii="Tahoma" w:hAnsi="Tahoma" w:cs="Tahoma"/>
          <w:b/>
        </w:rPr>
        <w:t>2012</w:t>
      </w:r>
    </w:p>
    <w:p w14:paraId="64B2541F" w14:textId="77777777" w:rsidR="00797681" w:rsidRPr="008A46A3" w:rsidRDefault="00797681" w:rsidP="00C267FD">
      <w:pPr>
        <w:pStyle w:val="ListParagraph"/>
        <w:rPr>
          <w:rFonts w:ascii="Tahoma" w:hAnsi="Tahoma" w:cs="Tahoma"/>
        </w:rPr>
      </w:pPr>
    </w:p>
    <w:p w14:paraId="6460B818" w14:textId="234E1F31" w:rsidR="00797681" w:rsidRPr="008A46A3" w:rsidRDefault="004709FD" w:rsidP="00C267FD">
      <w:pPr>
        <w:pStyle w:val="ListParagraph"/>
        <w:numPr>
          <w:ilvl w:val="0"/>
          <w:numId w:val="3"/>
        </w:numPr>
        <w:rPr>
          <w:rFonts w:ascii="Tahoma" w:hAnsi="Tahoma" w:cs="Tahoma"/>
        </w:rPr>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22BB8D1C" w14:textId="77777777" w:rsidR="00554191" w:rsidRDefault="00554191" w:rsidP="00C267FD">
      <w:pPr>
        <w:pStyle w:val="ListParagraph"/>
        <w:ind w:left="0"/>
        <w:jc w:val="both"/>
        <w:rPr>
          <w:rFonts w:ascii="Tahoma" w:hAnsi="Tahoma" w:cs="Tahoma"/>
        </w:rPr>
      </w:pPr>
    </w:p>
    <w:p w14:paraId="2A0F41F3" w14:textId="77777777" w:rsidR="007E70A1" w:rsidRDefault="007E70A1" w:rsidP="00C267FD">
      <w:pPr>
        <w:pStyle w:val="ListParagraph"/>
        <w:ind w:left="0"/>
        <w:jc w:val="both"/>
        <w:rPr>
          <w:rFonts w:ascii="Tahoma" w:hAnsi="Tahoma" w:cs="Tahoma"/>
        </w:rPr>
      </w:pPr>
    </w:p>
    <w:p w14:paraId="2661DD12" w14:textId="77777777" w:rsidR="007E70A1" w:rsidRPr="008A46A3" w:rsidRDefault="007E70A1" w:rsidP="00C267FD">
      <w:pPr>
        <w:pStyle w:val="ListParagraph"/>
        <w:ind w:left="0"/>
        <w:jc w:val="both"/>
        <w:rPr>
          <w:rFonts w:ascii="Tahoma" w:hAnsi="Tahoma" w:cs="Tahoma"/>
        </w:rPr>
      </w:pPr>
    </w:p>
    <w:p w14:paraId="22BB8D1D" w14:textId="77777777" w:rsidR="00CC3B64" w:rsidRPr="000C0FA4"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Download Eletrônico</w:t>
      </w:r>
    </w:p>
    <w:p w14:paraId="22BB8D1E" w14:textId="77777777" w:rsidR="00CC3B64" w:rsidRPr="008A46A3" w:rsidRDefault="00CC3B64" w:rsidP="00C267FD">
      <w:pPr>
        <w:rPr>
          <w:rFonts w:ascii="Tahoma" w:hAnsi="Tahoma" w:cs="Tahoma"/>
        </w:rPr>
      </w:pPr>
    </w:p>
    <w:p w14:paraId="22BB8D1F" w14:textId="6BA35AEB" w:rsidR="00CC3B64" w:rsidRPr="008A46A3" w:rsidRDefault="00BF48F5" w:rsidP="00EB0E3F">
      <w:pPr>
        <w:tabs>
          <w:tab w:val="left" w:pos="0"/>
        </w:tabs>
        <w:rPr>
          <w:rFonts w:ascii="Tahoma" w:hAnsi="Tahoma" w:cs="Tahoma"/>
        </w:rPr>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B0E3F">
        <w:rPr>
          <w:rFonts w:ascii="Tahoma" w:hAnsi="Tahoma" w:cs="Tahoma"/>
        </w:rPr>
        <w:t>“</w:t>
      </w:r>
      <w:r>
        <w:rPr>
          <w:rFonts w:ascii="Tahoma" w:hAnsi="Tahoma" w:cs="Tahoma"/>
        </w:rPr>
        <w:t>x</w:t>
      </w:r>
      <w:r w:rsidR="00EB0E3F">
        <w:rPr>
          <w:rFonts w:ascii="Tahoma" w:hAnsi="Tahoma" w:cs="Tahoma"/>
        </w:rPr>
        <w:t>”</w:t>
      </w:r>
      <w:r>
        <w:rPr>
          <w:rFonts w:ascii="Tahoma" w:hAnsi="Tahoma" w:cs="Tahoma"/>
        </w:rPr>
        <w:t xml:space="preserve"> na caixa </w:t>
      </w:r>
      <w:r w:rsidR="00EB0E3F">
        <w:rPr>
          <w:rFonts w:ascii="Tahoma" w:hAnsi="Tahoma" w:cs="Tahoma"/>
        </w:rPr>
        <w:t>“</w:t>
      </w:r>
      <w:r>
        <w:rPr>
          <w:rFonts w:ascii="Tahoma" w:hAnsi="Tahoma" w:cs="Tahoma"/>
          <w:iCs/>
          <w:color w:val="000000"/>
        </w:rPr>
        <w:t>Download Eletrônico</w:t>
      </w:r>
      <w:r w:rsidR="00EB0E3F">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 seguir:</w:t>
      </w:r>
    </w:p>
    <w:p w14:paraId="22BB8D20" w14:textId="77777777" w:rsidR="00CC3B64" w:rsidRPr="007E146D" w:rsidRDefault="00CC3B64" w:rsidP="00C267FD">
      <w:pPr>
        <w:pStyle w:val="ListParagraph"/>
        <w:ind w:left="0"/>
      </w:pPr>
    </w:p>
    <w:p w14:paraId="22BB8D21" w14:textId="090D3CEC" w:rsidR="004C604E" w:rsidRPr="00514FC2" w:rsidRDefault="004C604E" w:rsidP="00C267FD">
      <w:pPr>
        <w:numPr>
          <w:ilvl w:val="4"/>
          <w:numId w:val="16"/>
        </w:numPr>
        <w:ind w:left="720"/>
        <w:rPr>
          <w:rFonts w:ascii="Tahoma" w:hAnsi="Tahoma" w:cs="Tahoma"/>
        </w:rPr>
      </w:pPr>
      <w:r w:rsidRPr="00514FC2">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514FC2" w:rsidRDefault="004C604E" w:rsidP="00C267FD">
      <w:pPr>
        <w:numPr>
          <w:ilvl w:val="4"/>
          <w:numId w:val="16"/>
        </w:numPr>
        <w:ind w:left="720"/>
        <w:rPr>
          <w:rFonts w:ascii="Tahoma" w:hAnsi="Tahoma" w:cs="Tahoma"/>
        </w:rPr>
      </w:pPr>
      <w:r w:rsidRPr="00514FC2">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514FC2" w:rsidRDefault="004C604E" w:rsidP="00C267FD">
      <w:pPr>
        <w:numPr>
          <w:ilvl w:val="4"/>
          <w:numId w:val="16"/>
        </w:numPr>
        <w:ind w:left="720"/>
        <w:rPr>
          <w:rFonts w:ascii="Tahoma" w:hAnsi="Tahoma" w:cs="Tahoma"/>
        </w:rPr>
      </w:pPr>
      <w:r w:rsidRPr="00514FC2">
        <w:rPr>
          <w:rFonts w:ascii="Tahoma" w:hAnsi="Tahoma" w:cs="Tahoma"/>
        </w:rPr>
        <w:t>Você deve proteger as páginas de download com, no mínimo, um certificado SSL de 128 bits ou equivalente.</w:t>
      </w:r>
    </w:p>
    <w:p w14:paraId="22BB8D24" w14:textId="77777777" w:rsidR="00CC3B64" w:rsidRPr="00514FC2" w:rsidRDefault="004C604E" w:rsidP="00C267FD">
      <w:pPr>
        <w:numPr>
          <w:ilvl w:val="4"/>
          <w:numId w:val="16"/>
        </w:numPr>
        <w:ind w:left="720"/>
        <w:rPr>
          <w:rFonts w:ascii="Tahoma" w:hAnsi="Tahoma" w:cs="Tahoma"/>
        </w:rPr>
      </w:pPr>
      <w:r w:rsidRPr="00514FC2">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514FC2" w:rsidRDefault="00CC3B64" w:rsidP="00C267FD">
      <w:pPr>
        <w:numPr>
          <w:ilvl w:val="4"/>
          <w:numId w:val="16"/>
        </w:numPr>
        <w:ind w:left="720"/>
        <w:rPr>
          <w:rFonts w:ascii="Tahoma" w:hAnsi="Tahoma" w:cs="Tahoma"/>
        </w:rPr>
      </w:pPr>
      <w:r w:rsidRPr="00514FC2">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9" w14:textId="77777777" w:rsidR="00EC223A" w:rsidRPr="00514FC2" w:rsidRDefault="00EC223A" w:rsidP="00C267FD">
      <w:pPr>
        <w:ind w:left="360"/>
        <w:rPr>
          <w:rFonts w:ascii="Tahoma" w:hAnsi="Tahoma" w:cs="Tahoma"/>
        </w:rPr>
      </w:pPr>
    </w:p>
    <w:p w14:paraId="22BB8D2A" w14:textId="77777777" w:rsidR="00EC223A" w:rsidRPr="00950D26"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Concessões de Migração do Produto</w:t>
      </w:r>
    </w:p>
    <w:p w14:paraId="22BB8D2D" w14:textId="0C48E6FE" w:rsidR="00830ED6" w:rsidRPr="008A46A3" w:rsidRDefault="00F77BD0" w:rsidP="00C267FD">
      <w:pPr>
        <w:spacing w:before="120" w:after="20"/>
        <w:rPr>
          <w:rFonts w:ascii="Tahoma" w:hAnsi="Tahoma" w:cs="Tahoma"/>
        </w:rPr>
      </w:pPr>
      <w:r>
        <w:rPr>
          <w:rFonts w:ascii="Tahoma" w:hAnsi="Tahoma" w:cs="Tahoma"/>
          <w:b/>
          <w:bCs/>
          <w:iCs/>
        </w:rPr>
        <w:t>Concessões de Migração do Produto para Manutenção Incorporada</w:t>
      </w:r>
      <w:r w:rsidRPr="00B12E01">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8A46A3" w:rsidRDefault="00830ED6" w:rsidP="00C267FD">
      <w:pPr>
        <w:spacing w:before="120" w:after="120"/>
        <w:jc w:val="both"/>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8A46A3" w:rsidRDefault="000E36EC" w:rsidP="00C267FD">
      <w:pPr>
        <w:pStyle w:val="ListParagraph"/>
        <w:numPr>
          <w:ilvl w:val="0"/>
          <w:numId w:val="3"/>
        </w:numPr>
        <w:spacing w:before="120" w:after="120"/>
        <w:jc w:val="both"/>
        <w:rPr>
          <w:rFonts w:ascii="Tahoma" w:hAnsi="Tahoma" w:cs="Tahoma"/>
        </w:rPr>
      </w:pPr>
      <w:r>
        <w:rPr>
          <w:rFonts w:ascii="Tahoma" w:hAnsi="Tahoma" w:cs="Tahoma"/>
        </w:rPr>
        <w:t>Licença Qualificada é a licença de software com Manutenção Incorporada.</w:t>
      </w:r>
    </w:p>
    <w:p w14:paraId="22BB8D2F" w14:textId="632EFB2F" w:rsidR="00830ED6" w:rsidRPr="008A46A3" w:rsidRDefault="000E36EC" w:rsidP="00C267FD">
      <w:pPr>
        <w:pStyle w:val="ListParagraph"/>
        <w:numPr>
          <w:ilvl w:val="0"/>
          <w:numId w:val="3"/>
        </w:numPr>
        <w:spacing w:before="120" w:after="120"/>
        <w:jc w:val="both"/>
        <w:rPr>
          <w:rFonts w:ascii="Tahoma" w:hAnsi="Tahoma" w:cs="Tahoma"/>
        </w:rPr>
      </w:pPr>
      <w:r>
        <w:rPr>
          <w:rFonts w:ascii="Tahoma" w:hAnsi="Tahoma" w:cs="Tahoma"/>
        </w:rPr>
        <w:t>Licença Elegível é a licença de software que pode ser distribuída com uma Solução Unificada atualizada.</w:t>
      </w:r>
    </w:p>
    <w:p w14:paraId="705F09D4" w14:textId="77777777" w:rsidR="00B83983" w:rsidRPr="008A46A3" w:rsidRDefault="00B83983" w:rsidP="00C267FD">
      <w:pPr>
        <w:spacing w:before="120" w:after="120"/>
        <w:jc w:val="both"/>
        <w:rPr>
          <w:rFonts w:ascii="Tahoma" w:hAnsi="Tahoma" w:cs="Tahoma"/>
        </w:rPr>
      </w:pPr>
    </w:p>
    <w:p w14:paraId="265D81F6" w14:textId="3895D675" w:rsidR="00B83983" w:rsidRPr="008A46A3"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7E146D" w:rsidRDefault="000B6B47" w:rsidP="00C267FD">
      <w:pPr>
        <w:spacing w:before="120" w:after="120"/>
        <w:jc w:val="both"/>
      </w:pPr>
      <w:r>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D942B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B83983" w:rsidRPr="00D549E9" w14:paraId="6A3E9229" w14:textId="77777777" w:rsidTr="00D942B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B83983" w:rsidRPr="00D549E9" w14:paraId="132C2B45" w14:textId="77777777" w:rsidTr="00D942B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B83983" w:rsidRPr="00D549E9" w14:paraId="74CD5DC0" w14:textId="77777777" w:rsidTr="00D942B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7E146D" w:rsidRDefault="00B83983" w:rsidP="00C267FD">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7E146D" w:rsidRDefault="00B83983" w:rsidP="00C267FD">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141478B" w14:textId="77777777" w:rsidR="000B6B47" w:rsidRPr="007E146D" w:rsidRDefault="000B6B47" w:rsidP="000B6B47"/>
    <w:p w14:paraId="6387FD31" w14:textId="60625BF6" w:rsidR="000B6B47" w:rsidRPr="007E146D" w:rsidRDefault="000B6B47" w:rsidP="000B6B47">
      <w:r>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p w14:paraId="730938FC" w14:textId="77777777" w:rsidR="000B6B47" w:rsidRPr="007E146D" w:rsidRDefault="000B6B47" w:rsidP="000B6B47"/>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549E9" w14:paraId="0F14A2CC" w14:textId="77777777" w:rsidTr="00423D65">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206E89" w14:paraId="1304B830" w14:textId="77777777" w:rsidTr="00423D65">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8F4C47" w14:paraId="6B37E037" w14:textId="77777777" w:rsidTr="00423D6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206E89" w14:paraId="65FBD9A4" w14:textId="77777777" w:rsidTr="00423D6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6959C5D1" w14:textId="77777777" w:rsidR="003331FA" w:rsidRDefault="003331FA" w:rsidP="003331FA">
      <w:pPr>
        <w:jc w:val="both"/>
      </w:pPr>
    </w:p>
    <w:p w14:paraId="73D7F0AF" w14:textId="77777777" w:rsidR="005451C0" w:rsidRPr="007E146D" w:rsidRDefault="005451C0" w:rsidP="003331FA">
      <w:pPr>
        <w:jc w:val="both"/>
      </w:pPr>
      <w:bookmarkStart w:id="4" w:name="_GoBack"/>
      <w:bookmarkEnd w:id="4"/>
    </w:p>
    <w:p w14:paraId="370B0AA3" w14:textId="77777777" w:rsidR="005451C0" w:rsidRPr="00F367A0" w:rsidRDefault="005451C0" w:rsidP="005451C0">
      <w:pPr>
        <w:jc w:val="both"/>
        <w:rPr>
          <w:rFonts w:ascii="Tahoma" w:hAnsi="Tahoma" w:cs="Tahoma"/>
        </w:rPr>
      </w:pPr>
      <w:r w:rsidRPr="00F367A0">
        <w:rPr>
          <w:rFonts w:ascii="Tahoma" w:hAnsi="Tahoma" w:cs="Tahoma"/>
          <w:b/>
        </w:rPr>
        <w:t>Lync Server 2013</w:t>
      </w:r>
    </w:p>
    <w:p w14:paraId="3DA3D29D" w14:textId="77777777" w:rsidR="005451C0" w:rsidRPr="00F367A0" w:rsidRDefault="005451C0" w:rsidP="005451C0">
      <w:pPr>
        <w:rPr>
          <w:rFonts w:ascii="Tahoma" w:hAnsi="Tahoma" w:cs="Tahoma"/>
        </w:rPr>
      </w:pPr>
      <w:r w:rsidRPr="00F367A0">
        <w:rPr>
          <w:rFonts w:ascii="Tahoma" w:hAnsi="Tahoma" w:cs="Tahoma"/>
          <w:color w:val="000000"/>
          <w:sz w:val="16"/>
          <w:szCs w:val="16"/>
        </w:rPr>
        <w:t xml:space="preserve">O Lync Server 2013 é a versão mais recente do Lync Server. Os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Lync Server 2010 Standard ou Enterprise poderão fazer a atualização e distribuir o Lync Server 2013 em vez de suas cópias licenciadas do Lync Server 2010 integradas em uma Solução Unificada atualizada.</w:t>
      </w:r>
    </w:p>
    <w:p w14:paraId="50D3A674" w14:textId="77777777" w:rsidR="005451C0" w:rsidRPr="00F367A0" w:rsidRDefault="005451C0" w:rsidP="005451C0">
      <w:pPr>
        <w:ind w:firstLine="720"/>
        <w:rPr>
          <w:rFonts w:ascii="Tahoma" w:hAnsi="Tahoma" w:cs="Tahoma"/>
        </w:rPr>
      </w:pPr>
    </w:p>
    <w:p w14:paraId="62A58CAD" w14:textId="77777777" w:rsidR="005451C0" w:rsidRPr="00F367A0" w:rsidRDefault="005451C0" w:rsidP="005451C0">
      <w:pPr>
        <w:rPr>
          <w:rFonts w:ascii="Tahoma" w:hAnsi="Tahoma" w:cs="Tahoma"/>
        </w:rPr>
      </w:pPr>
      <w:r w:rsidRPr="00F367A0">
        <w:rPr>
          <w:rFonts w:ascii="Tahoma" w:hAnsi="Tahoma" w:cs="Tahoma"/>
          <w:color w:val="000000"/>
          <w:sz w:val="16"/>
          <w:szCs w:val="16"/>
        </w:rPr>
        <w:t>As CALs do Lync Server 2013 são as CALs sucessoras das CALs do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5451C0" w:rsidRPr="00F367A0" w14:paraId="0BD14CCE"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412AF34" w14:textId="77777777" w:rsidR="005451C0" w:rsidRPr="00F367A0" w:rsidRDefault="005451C0" w:rsidP="009D3E1A">
            <w:pPr>
              <w:jc w:val="center"/>
              <w:rPr>
                <w:rFonts w:ascii="Tahoma" w:hAnsi="Tahoma" w:cs="Tahoma"/>
                <w:b/>
                <w:bCs/>
                <w:iCs/>
                <w:sz w:val="18"/>
                <w:szCs w:val="18"/>
              </w:rPr>
            </w:pPr>
            <w:r w:rsidRPr="00F367A0">
              <w:rPr>
                <w:rFonts w:ascii="Tahoma" w:hAnsi="Tahoma" w:cs="Tahoma"/>
                <w:b/>
                <w:bCs/>
                <w:iCs/>
                <w:sz w:val="18"/>
                <w:szCs w:val="18"/>
              </w:rPr>
              <w:t>CAL do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5BD81603" w14:textId="77777777" w:rsidR="005451C0" w:rsidRPr="00F367A0" w:rsidRDefault="005451C0" w:rsidP="009D3E1A">
            <w:pPr>
              <w:jc w:val="center"/>
              <w:rPr>
                <w:rFonts w:ascii="Tahoma" w:hAnsi="Tahoma" w:cs="Tahoma"/>
              </w:rPr>
            </w:pPr>
            <w:r w:rsidRPr="00F367A0">
              <w:rPr>
                <w:rFonts w:ascii="Tahoma" w:hAnsi="Tahoma" w:cs="Tahoma"/>
                <w:b/>
                <w:bCs/>
                <w:iCs/>
                <w:sz w:val="18"/>
                <w:szCs w:val="18"/>
              </w:rPr>
              <w:t>Versão Sucessora</w:t>
            </w:r>
          </w:p>
        </w:tc>
      </w:tr>
      <w:tr w:rsidR="005451C0" w:rsidRPr="00F367A0" w14:paraId="506B7778"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7C3AE6"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 xml:space="preserve">CAL do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3EC6F01"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CAL do Lync Server 2013 Plus</w:t>
            </w:r>
          </w:p>
        </w:tc>
      </w:tr>
      <w:tr w:rsidR="005451C0" w:rsidRPr="00F367A0" w14:paraId="6FB087A5"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5D3050B"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 xml:space="preserve">CAL Empresarial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B7557A7"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CAL do Lync Server 2013 Enterprise</w:t>
            </w:r>
          </w:p>
        </w:tc>
      </w:tr>
      <w:tr w:rsidR="005451C0" w:rsidRPr="00F367A0" w14:paraId="5F8DF5FC"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250A6F2"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 xml:space="preserve">CAL Padrão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B21823B"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CAL do Lync Server 2013 Standard</w:t>
            </w:r>
          </w:p>
        </w:tc>
      </w:tr>
    </w:tbl>
    <w:p w14:paraId="6422BB9B" w14:textId="77777777" w:rsidR="005451C0" w:rsidRPr="00F367A0" w:rsidRDefault="005451C0" w:rsidP="005451C0">
      <w:pPr>
        <w:rPr>
          <w:rFonts w:ascii="Tahoma" w:hAnsi="Tahoma" w:cs="Tahoma"/>
        </w:rPr>
      </w:pPr>
    </w:p>
    <w:p w14:paraId="23841B34" w14:textId="77777777" w:rsidR="005451C0" w:rsidRPr="00F367A0" w:rsidRDefault="005451C0" w:rsidP="005451C0">
      <w:pPr>
        <w:rPr>
          <w:rFonts w:ascii="Tahoma" w:hAnsi="Tahoma" w:cs="Tahoma"/>
        </w:rPr>
      </w:pPr>
      <w:r w:rsidRPr="00F367A0">
        <w:rPr>
          <w:rFonts w:ascii="Tahoma" w:hAnsi="Tahoma" w:cs="Tahoma"/>
          <w:color w:val="000000"/>
          <w:sz w:val="16"/>
          <w:szCs w:val="16"/>
        </w:rPr>
        <w:t>A Licença do Servidor do Lync Server 2013 é a versão sucessora das Licenças do Servidor do Lync Server 2010 Standard e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5451C0" w:rsidRPr="00F367A0" w14:paraId="2D398C6F"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E1450F7" w14:textId="77777777" w:rsidR="005451C0" w:rsidRPr="00F367A0" w:rsidRDefault="005451C0" w:rsidP="009D3E1A">
            <w:pPr>
              <w:jc w:val="center"/>
              <w:rPr>
                <w:rFonts w:ascii="Tahoma" w:hAnsi="Tahoma" w:cs="Tahoma"/>
                <w:b/>
                <w:bCs/>
                <w:iCs/>
                <w:sz w:val="18"/>
                <w:szCs w:val="18"/>
              </w:rPr>
            </w:pPr>
            <w:r w:rsidRPr="00F367A0">
              <w:rPr>
                <w:rFonts w:ascii="Tahoma" w:hAnsi="Tahoma" w:cs="Tahoma"/>
                <w:b/>
                <w:bCs/>
                <w:iCs/>
                <w:sz w:val="18"/>
                <w:szCs w:val="18"/>
              </w:rPr>
              <w:t>Licença do Servidor do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0C72DA9E" w14:textId="77777777" w:rsidR="005451C0" w:rsidRPr="00F367A0" w:rsidRDefault="005451C0" w:rsidP="009D3E1A">
            <w:pPr>
              <w:jc w:val="center"/>
              <w:rPr>
                <w:rFonts w:ascii="Tahoma" w:hAnsi="Tahoma" w:cs="Tahoma"/>
              </w:rPr>
            </w:pPr>
            <w:r w:rsidRPr="00F367A0">
              <w:rPr>
                <w:rFonts w:ascii="Tahoma" w:hAnsi="Tahoma" w:cs="Tahoma"/>
                <w:b/>
                <w:bCs/>
                <w:iCs/>
                <w:sz w:val="18"/>
                <w:szCs w:val="18"/>
              </w:rPr>
              <w:t>Versão Sucessora</w:t>
            </w:r>
          </w:p>
        </w:tc>
      </w:tr>
      <w:tr w:rsidR="005451C0" w:rsidRPr="00F367A0" w14:paraId="2609288A"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CD382C"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2F0AC27"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Lync Server 2013</w:t>
            </w:r>
          </w:p>
        </w:tc>
      </w:tr>
      <w:tr w:rsidR="005451C0" w:rsidRPr="00F367A0" w14:paraId="532FD2D6"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64FDD7"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656AF46C" w14:textId="77777777" w:rsidR="005451C0" w:rsidRPr="00F367A0" w:rsidRDefault="005451C0" w:rsidP="009D3E1A">
            <w:pPr>
              <w:rPr>
                <w:rFonts w:ascii="Tahoma" w:hAnsi="Tahoma" w:cs="Tahoma"/>
                <w:bCs/>
                <w:sz w:val="16"/>
                <w:szCs w:val="19"/>
              </w:rPr>
            </w:pPr>
            <w:r w:rsidRPr="00F367A0">
              <w:rPr>
                <w:rFonts w:ascii="Tahoma" w:hAnsi="Tahoma" w:cs="Tahoma"/>
                <w:bCs/>
                <w:sz w:val="16"/>
                <w:szCs w:val="19"/>
              </w:rPr>
              <w:t>Lync Server 2013</w:t>
            </w:r>
          </w:p>
        </w:tc>
      </w:tr>
    </w:tbl>
    <w:p w14:paraId="6CB84264" w14:textId="77777777" w:rsidR="005451C0" w:rsidRPr="00F367A0" w:rsidRDefault="005451C0" w:rsidP="005451C0">
      <w:pPr>
        <w:spacing w:before="120" w:after="120"/>
        <w:jc w:val="both"/>
        <w:rPr>
          <w:rFonts w:ascii="Tahoma" w:hAnsi="Tahoma" w:cs="Tahoma"/>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 versões anteriores</w:t>
      </w:r>
    </w:p>
    <w:p w14:paraId="5699837F" w14:textId="5A567F45" w:rsidR="00BD41AF" w:rsidRPr="007E146D" w:rsidRDefault="003331FA" w:rsidP="00BD41AF">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p w14:paraId="46A29F5D" w14:textId="77777777" w:rsidR="003331FA" w:rsidRPr="007E146D" w:rsidRDefault="003331FA" w:rsidP="003331FA">
      <w:pPr>
        <w:pStyle w:val="Heading3Bold"/>
        <w:numPr>
          <w:ilvl w:val="0"/>
          <w:numId w:val="0"/>
        </w:numPr>
        <w:tabs>
          <w:tab w:val="left" w:pos="720"/>
        </w:tabs>
        <w:spacing w:before="0" w:after="0"/>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338"/>
        <w:gridCol w:w="5490"/>
      </w:tblGrid>
      <w:tr w:rsidR="003331FA" w:rsidRPr="003331FA" w14:paraId="725FFB7A" w14:textId="77777777" w:rsidTr="0098214E">
        <w:trPr>
          <w:tblHeader/>
        </w:trPr>
        <w:tc>
          <w:tcPr>
            <w:tcW w:w="5338"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Licença Qualificada</w:t>
            </w:r>
          </w:p>
        </w:tc>
        <w:tc>
          <w:tcPr>
            <w:tcW w:w="549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Licença Elegível</w:t>
            </w:r>
          </w:p>
        </w:tc>
      </w:tr>
      <w:tr w:rsidR="003331FA" w:rsidRPr="003331FA" w14:paraId="077DAE91" w14:textId="77777777" w:rsidTr="0098214E">
        <w:tc>
          <w:tcPr>
            <w:tcW w:w="5338"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Uma (1) CAL do Microsoft Dynamics CRM 2011 Employee Self Service</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90"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Uma (1) CAL do Microsoft Dynamics CRM 2013/2015 Essential ou</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 e</w:t>
            </w:r>
            <w:r>
              <w:rPr>
                <w:rFonts w:ascii="Tahoma" w:hAnsi="Tahoma" w:cs="Tahoma"/>
                <w:color w:val="000000"/>
                <w:sz w:val="16"/>
                <w:szCs w:val="16"/>
              </w:rPr>
              <w:br/>
              <w:t>Uma (1) CAL Adicional de Uso Básico do Microsoft Dynamics CRM 2013/2015</w:t>
            </w:r>
          </w:p>
        </w:tc>
      </w:tr>
      <w:tr w:rsidR="003331FA" w:rsidRPr="003331FA" w14:paraId="5386F90F" w14:textId="77777777" w:rsidTr="0098214E">
        <w:tc>
          <w:tcPr>
            <w:tcW w:w="5338"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9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p>
        </w:tc>
      </w:tr>
      <w:tr w:rsidR="003331FA" w:rsidRPr="003331FA" w14:paraId="33D9282B" w14:textId="77777777" w:rsidTr="0098214E">
        <w:tc>
          <w:tcPr>
            <w:tcW w:w="5338"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4.0</w:t>
            </w:r>
          </w:p>
        </w:tc>
        <w:tc>
          <w:tcPr>
            <w:tcW w:w="5490"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Uma (1) CAL Adicional de Uso Profissional para Microsoft Dynamics CRM 2013/2015 ou</w:t>
            </w:r>
          </w:p>
          <w:p w14:paraId="4FB37D42" w14:textId="4877D1D4" w:rsidR="003331FA" w:rsidRPr="003331FA" w:rsidRDefault="003331FA" w:rsidP="00652CA0">
            <w:pPr>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r w:rsidR="00652CA0"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98214E">
        <w:trPr>
          <w:trHeight w:val="1159"/>
        </w:trPr>
        <w:tc>
          <w:tcPr>
            <w:tcW w:w="5338"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Um (1) Conector Externo para Microsoft Dynamics CRM 2011</w:t>
            </w:r>
          </w:p>
          <w:p w14:paraId="2F311EE9" w14:textId="77777777" w:rsidR="003331FA" w:rsidRPr="007E146D" w:rsidRDefault="003331FA" w:rsidP="003331FA">
            <w:r>
              <w:rPr>
                <w:rFonts w:ascii="Tahoma" w:hAnsi="Tahoma" w:cs="Tahoma"/>
                <w:color w:val="000000"/>
                <w:sz w:val="16"/>
                <w:szCs w:val="16"/>
              </w:rPr>
              <w:t>Um (1) External Connector Limitado do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(separado OU como parte do External Connector Limitado do Microsoft Dynamics CRM 4.0 e conjunto do External Connector Adicional de Uso Completo do Microsoft Dynamics CRM 4.0)</w:t>
            </w:r>
          </w:p>
        </w:tc>
        <w:tc>
          <w:tcPr>
            <w:tcW w:w="549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 Server</w:t>
            </w:r>
          </w:p>
        </w:tc>
      </w:tr>
    </w:tbl>
    <w:p w14:paraId="4A5A0D9E" w14:textId="529FB00D" w:rsidR="003331FA" w:rsidRPr="007E146D" w:rsidRDefault="003331FA" w:rsidP="003331FA">
      <w:r>
        <w:rPr>
          <w:rFonts w:ascii="Tahoma" w:hAnsi="Tahoma" w:cs="Tahoma"/>
          <w:color w:val="000000"/>
          <w:sz w:val="16"/>
          <w:szCs w:val="16"/>
          <w:vertAlign w:val="superscript"/>
        </w:rPr>
        <w:t>1</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 ao atualizar. Os Clientes não podem atualizar a Solução Unificada dos Usuários Finais para uma CAL Adicional mais alta do que a licença pela qual eles estão pagando no momento a Manutenção Incorporada </w:t>
      </w:r>
    </w:p>
    <w:p w14:paraId="5BF28C85" w14:textId="77777777" w:rsidR="003331FA" w:rsidRPr="007E146D" w:rsidRDefault="003331FA" w:rsidP="003331FA">
      <w:pPr>
        <w:jc w:val="both"/>
      </w:pPr>
    </w:p>
    <w:p w14:paraId="22BB8D31" w14:textId="78DD476C" w:rsidR="00D549E9" w:rsidRPr="008A46A3" w:rsidRDefault="00D549E9" w:rsidP="003331FA">
      <w:pPr>
        <w:spacing w:before="120" w:after="120"/>
        <w:jc w:val="both"/>
        <w:rPr>
          <w:rFonts w:ascii="Tahoma" w:hAnsi="Tahoma" w:cs="Tahoma"/>
        </w:rPr>
      </w:pPr>
      <w:r>
        <w:rPr>
          <w:rFonts w:ascii="Tahoma" w:hAnsi="Tahoma" w:cs="Tahoma"/>
          <w:b/>
          <w:szCs w:val="16"/>
        </w:rPr>
        <w:t>Office, Office Performance Point e Office Communications Server</w:t>
      </w:r>
    </w:p>
    <w:p w14:paraId="6D3958D7" w14:textId="77777777" w:rsidR="008C65C1" w:rsidRPr="007E146D" w:rsidRDefault="008C65C1" w:rsidP="001C5405">
      <w:pPr>
        <w:tabs>
          <w:tab w:val="left" w:pos="450"/>
          <w:tab w:val="left" w:pos="990"/>
        </w:tabs>
      </w:pPr>
      <w:r>
        <w:rPr>
          <w:rFonts w:ascii="Tahoma" w:hAnsi="Tahoma" w:cs="Tahoma"/>
          <w:sz w:val="16"/>
          <w:szCs w:val="12"/>
        </w:rPr>
        <w:t>Observação:</w:t>
      </w:r>
      <w:r>
        <w:rPr>
          <w:rFonts w:ascii="Tahoma" w:hAnsi="Tahoma" w:cs="Tahoma"/>
          <w:sz w:val="16"/>
          <w:szCs w:val="12"/>
        </w:rPr>
        <w:tab/>
        <w:t>As CALs/ECs do OCS 2007 são substituídas pelas CALs/ECs do Lync Server de mesmo nível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AD1CE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724F27" w14:paraId="61EC91DE" w14:textId="77777777" w:rsidTr="00AD1CE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724F27" w14:paraId="22BB8D3E" w14:textId="77777777" w:rsidTr="00AD1CE3">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724F27" w14:paraId="22BB8D41" w14:textId="77777777" w:rsidTr="00AD1CE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AD1CE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22BB8D45" w14:textId="77777777" w:rsidR="00294CBF" w:rsidRPr="00FE154A" w:rsidRDefault="00294CBF" w:rsidP="00C267FD">
      <w:pPr>
        <w:rPr>
          <w:rFonts w:ascii="Tahoma" w:hAnsi="Tahoma" w:cs="Tahoma"/>
        </w:rPr>
      </w:pPr>
    </w:p>
    <w:p w14:paraId="04A359A6" w14:textId="5533E430" w:rsidR="00C267FD" w:rsidRPr="008A46A3" w:rsidRDefault="00C267FD" w:rsidP="00C267FD">
      <w:pPr>
        <w:spacing w:before="120" w:after="120"/>
        <w:jc w:val="both"/>
        <w:rPr>
          <w:rFonts w:ascii="Tahoma" w:hAnsi="Tahoma" w:cs="Tahoma"/>
        </w:rPr>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Pr>
          <w:rFonts w:ascii="Tahoma" w:hAnsi="Tahoma" w:cs="Tahoma"/>
          <w:sz w:val="16"/>
          <w:szCs w:val="16"/>
        </w:rPr>
        <w:t xml:space="preserve">Manutenção Incorporada </w:t>
      </w:r>
      <w:r>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580"/>
        <w:gridCol w:w="4230"/>
      </w:tblGrid>
      <w:tr w:rsidR="00C267FD" w:rsidRPr="00D549E9" w14:paraId="70D8940E" w14:textId="77777777" w:rsidTr="009E5538">
        <w:trPr>
          <w:trHeight w:val="217"/>
        </w:trPr>
        <w:tc>
          <w:tcPr>
            <w:tcW w:w="658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423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Versão Sucessora</w:t>
            </w:r>
          </w:p>
        </w:tc>
      </w:tr>
      <w:tr w:rsidR="00C267FD" w:rsidRPr="00D549E9" w14:paraId="4B39DBD7" w14:textId="77777777" w:rsidTr="009E5538">
        <w:tc>
          <w:tcPr>
            <w:tcW w:w="658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423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D549E9" w14:paraId="301A8DDC" w14:textId="77777777" w:rsidTr="009E5538">
        <w:tc>
          <w:tcPr>
            <w:tcW w:w="658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423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rPr>
            </w:pPr>
            <w:r>
              <w:rPr>
                <w:rFonts w:ascii="Tahoma" w:hAnsi="Tahoma" w:cs="Tahoma"/>
                <w:bCs/>
                <w:sz w:val="16"/>
                <w:szCs w:val="19"/>
              </w:rPr>
              <w:t>SharePoint Server 2013</w:t>
            </w:r>
          </w:p>
        </w:tc>
      </w:tr>
    </w:tbl>
    <w:p w14:paraId="25AEDFFE" w14:textId="13A66C22" w:rsidR="002B0E58" w:rsidRPr="00D474C5" w:rsidRDefault="002B0E58" w:rsidP="002B0E58">
      <w:pPr>
        <w:jc w:val="both"/>
        <w:rPr>
          <w:rFonts w:ascii="Tahoma" w:hAnsi="Tahoma" w:cs="Tahoma"/>
        </w:rPr>
      </w:pPr>
    </w:p>
    <w:p w14:paraId="22BB8D73" w14:textId="25A458E3" w:rsidR="006F2741" w:rsidRPr="008A46A3"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F2544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DD49D1" w14:paraId="278519D7"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8 (Oito) SQL Server 2012 Enterprise Core</w:t>
            </w:r>
            <w:r>
              <w:rPr>
                <w:rFonts w:ascii="Tahoma" w:hAnsi="Tahoma" w:cs="Tahoma"/>
                <w:bCs/>
                <w:sz w:val="16"/>
                <w:szCs w:val="19"/>
                <w:vertAlign w:val="superscript"/>
              </w:rPr>
              <w:t>1,2,3</w:t>
            </w:r>
          </w:p>
        </w:tc>
      </w:tr>
      <w:tr w:rsidR="004247CA" w:rsidRPr="00DD49D1" w14:paraId="3F6F648F"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4 (Quatro) SQL Server 2012 Enterprise Core</w:t>
            </w:r>
            <w:r>
              <w:rPr>
                <w:rFonts w:ascii="Tahoma" w:hAnsi="Tahoma" w:cs="Tahoma"/>
                <w:bCs/>
                <w:sz w:val="16"/>
                <w:szCs w:val="19"/>
                <w:vertAlign w:val="superscript"/>
              </w:rPr>
              <w:t>1,2,3</w:t>
            </w:r>
          </w:p>
        </w:tc>
      </w:tr>
      <w:tr w:rsidR="004247CA" w:rsidRPr="00DD49D1" w14:paraId="26063BDD"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Um (1) SQL Server 2012 Enterprise Server</w:t>
            </w:r>
            <w:r>
              <w:rPr>
                <w:rFonts w:ascii="Tahoma" w:hAnsi="Tahoma" w:cs="Tahoma"/>
                <w:bCs/>
                <w:sz w:val="16"/>
                <w:szCs w:val="19"/>
                <w:vertAlign w:val="superscript"/>
              </w:rPr>
              <w:t>2</w:t>
            </w:r>
          </w:p>
        </w:tc>
      </w:tr>
      <w:tr w:rsidR="004247CA" w:rsidRPr="00DD49D1" w14:paraId="6DB9F8E3"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DD49D1" w14:paraId="1D7D345A"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1 (Um) SQL Server 2012 Standard Server</w:t>
            </w:r>
          </w:p>
        </w:tc>
      </w:tr>
      <w:tr w:rsidR="004247CA" w:rsidRPr="00DD49D1" w14:paraId="3A5EF69F"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DD49D1" w14:paraId="113359AD"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1 (Um) SQL Server 2012 Standard Server</w:t>
            </w:r>
          </w:p>
        </w:tc>
      </w:tr>
    </w:tbl>
    <w:p w14:paraId="7A03EEE0" w14:textId="77777777" w:rsidR="004247CA" w:rsidRPr="00101336" w:rsidRDefault="004247CA" w:rsidP="004247CA">
      <w:pPr>
        <w:rPr>
          <w:rFonts w:ascii="Tahoma" w:hAnsi="Tahoma" w:cs="Tahoma"/>
          <w:sz w:val="16"/>
          <w:szCs w:val="16"/>
        </w:rPr>
      </w:pPr>
    </w:p>
    <w:p w14:paraId="03F00DF3" w14:textId="1A24BFAD" w:rsidR="004247CA" w:rsidRPr="007E146D" w:rsidRDefault="004247CA" w:rsidP="00170030">
      <w:r>
        <w:rPr>
          <w:rFonts w:ascii="Tahoma" w:hAnsi="Tahoma" w:cs="Tahoma"/>
          <w:sz w:val="16"/>
          <w:szCs w:val="16"/>
          <w:vertAlign w:val="superscript"/>
        </w:rPr>
        <w:t xml:space="preserve">1 </w:t>
      </w:r>
      <w:r>
        <w:rPr>
          <w:rFonts w:ascii="Tahoma" w:hAnsi="Tahoma" w:cs="Tahoma"/>
          <w:sz w:val="16"/>
          <w:szCs w:val="16"/>
        </w:rPr>
        <w:t>Se o Usuário Final estiver executando o SQL Server (</w:t>
      </w:r>
      <w:r w:rsidR="000F2318">
        <w:rPr>
          <w:rFonts w:ascii="Tahoma" w:hAnsi="Tahoma" w:cs="Tahoma"/>
          <w:sz w:val="16"/>
          <w:szCs w:val="16"/>
        </w:rPr>
        <w:t>“</w:t>
      </w:r>
      <w:r>
        <w:rPr>
          <w:rFonts w:ascii="Tahoma" w:hAnsi="Tahoma" w:cs="Tahoma"/>
          <w:sz w:val="16"/>
          <w:szCs w:val="16"/>
        </w:rPr>
        <w:t>SQL</w:t>
      </w:r>
      <w:r w:rsidR="000F2318">
        <w:rPr>
          <w:rFonts w:ascii="Tahoma" w:hAnsi="Tahoma" w:cs="Tahoma"/>
          <w:sz w:val="16"/>
          <w:szCs w:val="16"/>
        </w:rPr>
        <w:t>”</w:t>
      </w:r>
      <w:r>
        <w:rPr>
          <w:rFonts w:ascii="Tahoma" w:hAnsi="Tahoma" w:cs="Tahoma"/>
          <w:sz w:val="16"/>
          <w:szCs w:val="16"/>
        </w:rPr>
        <w:t xml:space="preserve">) em processadores com mais do que o número de núcleos mostrado na coluna </w:t>
      </w:r>
      <w:r w:rsidR="00170030">
        <w:rPr>
          <w:rFonts w:ascii="Tahoma" w:hAnsi="Tahoma" w:cs="Tahoma"/>
          <w:sz w:val="16"/>
          <w:szCs w:val="16"/>
        </w:rPr>
        <w:t>“</w:t>
      </w:r>
      <w:r>
        <w:rPr>
          <w:rFonts w:ascii="Tahoma" w:hAnsi="Tahoma" w:cs="Tahoma"/>
          <w:sz w:val="16"/>
          <w:szCs w:val="16"/>
        </w:rPr>
        <w:t>Licença Elegível</w:t>
      </w:r>
      <w:r w:rsidR="00170030">
        <w:rPr>
          <w:rFonts w:ascii="Tahoma" w:hAnsi="Tahoma" w:cs="Tahoma"/>
          <w:sz w:val="16"/>
          <w:szCs w:val="16"/>
        </w:rPr>
        <w:t>”</w:t>
      </w:r>
      <w:r>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2012.</w:t>
      </w:r>
    </w:p>
    <w:p w14:paraId="371BA2BA" w14:textId="77777777" w:rsidR="004247CA" w:rsidRPr="00D76A86"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1238C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D45770" w14:paraId="21347010"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8 (Oito) SQL Server 2014 Enterprise Core</w:t>
            </w:r>
            <w:r>
              <w:rPr>
                <w:rFonts w:ascii="Tahoma" w:hAnsi="Tahoma" w:cs="Tahoma"/>
                <w:bCs/>
                <w:sz w:val="16"/>
                <w:szCs w:val="19"/>
                <w:vertAlign w:val="superscript"/>
              </w:rPr>
              <w:t>1,2,3</w:t>
            </w:r>
          </w:p>
        </w:tc>
      </w:tr>
      <w:tr w:rsidR="004247CA" w:rsidRPr="00D45770" w14:paraId="384FFD84"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4 (Quatro) SQL Server 2014 Enterprise Core</w:t>
            </w:r>
            <w:r>
              <w:rPr>
                <w:rFonts w:ascii="Tahoma" w:hAnsi="Tahoma" w:cs="Tahoma"/>
                <w:bCs/>
                <w:sz w:val="16"/>
                <w:szCs w:val="19"/>
                <w:vertAlign w:val="superscript"/>
              </w:rPr>
              <w:t>1,2,3</w:t>
            </w:r>
          </w:p>
        </w:tc>
      </w:tr>
      <w:tr w:rsidR="004247CA" w:rsidRPr="00D45770" w14:paraId="6DE6E8D1"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Um (1) SQL Server 2014 Enterprise Server</w:t>
            </w:r>
            <w:r>
              <w:rPr>
                <w:rFonts w:ascii="Tahoma" w:hAnsi="Tahoma" w:cs="Tahoma"/>
                <w:bCs/>
                <w:sz w:val="16"/>
                <w:szCs w:val="19"/>
                <w:vertAlign w:val="superscript"/>
              </w:rPr>
              <w:t>2</w:t>
            </w:r>
          </w:p>
        </w:tc>
      </w:tr>
      <w:tr w:rsidR="004247CA" w:rsidRPr="00D45770" w14:paraId="6738D9FD"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D45770" w14:paraId="225ABB99" w14:textId="77777777" w:rsidTr="001238C6">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1 (Um) SQL Server 2014 Standard Server</w:t>
            </w:r>
          </w:p>
        </w:tc>
      </w:tr>
      <w:tr w:rsidR="004247CA" w:rsidRPr="00D45770" w14:paraId="2BB0885B"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D45770" w14:paraId="26CCD5D8"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1 (Um) SQL Server 2014 Standard Server</w:t>
            </w:r>
          </w:p>
        </w:tc>
      </w:tr>
    </w:tbl>
    <w:p w14:paraId="1B348707" w14:textId="77777777" w:rsidR="004247CA" w:rsidRPr="002F3D78"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Clientes com licenças de processador de Uso Restrito ao Tempo de Execução do SQL Server devem ver a nota adicional abaixo sobre atualizações para as licenças de núcleo do SQL Server 2014.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2014.</w:t>
      </w:r>
    </w:p>
    <w:p w14:paraId="7E060878" w14:textId="77777777" w:rsidR="00FA7289" w:rsidRPr="008F6CA9" w:rsidRDefault="00FA7289" w:rsidP="00485D5E">
      <w:pPr>
        <w:rPr>
          <w:rFonts w:ascii="Tahoma" w:hAnsi="Tahoma" w:cs="Tahoma"/>
          <w:sz w:val="16"/>
          <w:szCs w:val="16"/>
        </w:rPr>
      </w:pPr>
    </w:p>
    <w:p w14:paraId="2CE9F2E8" w14:textId="472B97CE" w:rsidR="00485D5E" w:rsidRPr="00071332" w:rsidRDefault="00485D5E" w:rsidP="00485D5E">
      <w:pPr>
        <w:rPr>
          <w:spacing w:val="-1"/>
        </w:rPr>
      </w:pPr>
      <w:r w:rsidRPr="00071332">
        <w:rPr>
          <w:rFonts w:ascii="Tahoma" w:hAnsi="Tahoma" w:cs="Tahoma"/>
          <w:color w:val="000000"/>
          <w:spacing w:val="-1"/>
          <w:sz w:val="16"/>
          <w:szCs w:val="16"/>
        </w:rPr>
        <w:t xml:space="preserve">O SQL Server 2012 Enterprise Core e o SQL Server 2012 Standard Core são as versões mais recentes do SQL Server Core a incluir uma edição de Uso Restrito ao Tempo de Execução. Clientes com </w:t>
      </w:r>
      <w:r w:rsidRPr="00071332">
        <w:rPr>
          <w:rFonts w:ascii="Tahoma" w:hAnsi="Tahoma" w:cs="Tahoma"/>
          <w:spacing w:val="-1"/>
          <w:sz w:val="16"/>
          <w:szCs w:val="16"/>
        </w:rPr>
        <w:t xml:space="preserve">Manutenção Incorporada </w:t>
      </w:r>
      <w:r w:rsidRPr="00071332">
        <w:rPr>
          <w:rFonts w:ascii="Tahoma" w:hAnsi="Tahoma" w:cs="Tahoma"/>
          <w:color w:val="000000"/>
          <w:spacing w:val="-1"/>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p w14:paraId="15C083B9" w14:textId="77777777" w:rsidR="00485D5E" w:rsidRPr="00BD0073"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D549E9" w14:paraId="1F40C85B" w14:textId="77777777" w:rsidTr="00546D5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rPr>
            </w:pPr>
            <w:r>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85D5E" w:rsidRPr="00206E89" w14:paraId="3930EACB" w14:textId="77777777" w:rsidTr="00546D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rPr>
            </w:pPr>
            <w:r>
              <w:rPr>
                <w:rFonts w:ascii="Tahoma" w:hAnsi="Tahoma" w:cs="Tahoma"/>
                <w:bCs/>
                <w:sz w:val="16"/>
                <w:szCs w:val="19"/>
              </w:rPr>
              <w:t>Um (1) SQL Server 2012 Enterprise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rPr>
              <w:t>Um (1) SQL Server 2014 Enterprise Core (Uso Total)</w:t>
            </w:r>
            <w:r>
              <w:rPr>
                <w:rFonts w:ascii="Tahoma" w:hAnsi="Tahoma" w:cs="Tahoma"/>
                <w:bCs/>
                <w:sz w:val="16"/>
                <w:szCs w:val="19"/>
                <w:vertAlign w:val="superscript"/>
              </w:rPr>
              <w:t>1,2</w:t>
            </w:r>
          </w:p>
        </w:tc>
      </w:tr>
      <w:tr w:rsidR="00485D5E" w:rsidRPr="00206E89" w14:paraId="052B1938" w14:textId="77777777" w:rsidTr="00546D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rPr>
            </w:pPr>
            <w:r>
              <w:rPr>
                <w:rFonts w:ascii="Tahoma" w:hAnsi="Tahoma" w:cs="Tahoma"/>
                <w:bCs/>
                <w:sz w:val="16"/>
                <w:szCs w:val="19"/>
              </w:rPr>
              <w:t>Um (1) SQL Server 2012 Standard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rPr>
              <w:t>Um (1) SQL Server 2014 Standard Core (Uso Total)</w:t>
            </w:r>
          </w:p>
        </w:tc>
      </w:tr>
    </w:tbl>
    <w:p w14:paraId="61732C4C" w14:textId="77777777" w:rsidR="00485D5E" w:rsidRPr="00EA0E67" w:rsidRDefault="00485D5E" w:rsidP="00485D5E">
      <w:pPr>
        <w:rPr>
          <w:rFonts w:ascii="Tahoma" w:hAnsi="Tahoma" w:cs="Tahoma"/>
          <w:sz w:val="16"/>
          <w:szCs w:val="16"/>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O link para a tabela de fatores de núcleo está disponível no Contrato de Licença de Usuário Final correspondente ao software SQL Server 2014.</w:t>
      </w:r>
    </w:p>
    <w:p w14:paraId="3827DB2F" w14:textId="16C6E94D" w:rsidR="00583237" w:rsidRPr="003C5FFC" w:rsidRDefault="00583237" w:rsidP="00C267FD">
      <w:pPr>
        <w:tabs>
          <w:tab w:val="left" w:pos="3770"/>
        </w:tabs>
        <w:rPr>
          <w:rFonts w:ascii="Tahoma" w:hAnsi="Tahoma" w:cs="Tahoma"/>
        </w:rPr>
      </w:pPr>
    </w:p>
    <w:p w14:paraId="40EEA48D" w14:textId="35B22339" w:rsidR="00583237" w:rsidRPr="008A46A3" w:rsidRDefault="00583237" w:rsidP="00C267FD">
      <w:pPr>
        <w:spacing w:before="120" w:after="120"/>
        <w:jc w:val="both"/>
        <w:rPr>
          <w:rFonts w:ascii="Tahoma" w:hAnsi="Tahoma" w:cs="Tahoma"/>
        </w:rPr>
      </w:pPr>
      <w:r>
        <w:rPr>
          <w:rFonts w:ascii="Tahoma" w:hAnsi="Tahoma" w:cs="Tahoma"/>
          <w:b/>
          <w:bCs/>
          <w:szCs w:val="19"/>
        </w:rPr>
        <w:t xml:space="preserve">Concessões de Transição do Produto System </w:t>
      </w:r>
      <w:r w:rsidRPr="008A46A3">
        <w:rPr>
          <w:rFonts w:ascii="Tahoma" w:hAnsi="Tahoma" w:cs="Tahoma"/>
          <w:b/>
          <w:bCs/>
          <w:szCs w:val="19"/>
        </w:rPr>
        <w:t>Center</w:t>
      </w:r>
    </w:p>
    <w:p w14:paraId="1E2B7DC1" w14:textId="1451DFAF" w:rsidR="00583237" w:rsidRPr="007E146D" w:rsidRDefault="00583237" w:rsidP="0033679C">
      <w:pPr>
        <w:spacing w:after="120"/>
      </w:pPr>
      <w:r>
        <w:rPr>
          <w:rFonts w:ascii="Tahoma" w:hAnsi="Tahoma" w:cs="Tahoma"/>
          <w:sz w:val="16"/>
          <w:szCs w:val="12"/>
        </w:rPr>
        <w:t xml:space="preserve">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77BD0" w14:paraId="251F2813" w14:textId="77777777" w:rsidTr="00A4639C">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77BD0" w14:paraId="05E79D2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Qualquer Licença do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F77BD0" w14:paraId="49A084B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77BD0" w14:paraId="622E6D7A"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4C4E3B29" w14:textId="77777777" w:rsidTr="00A4639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0797584C"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77BD0" w14:paraId="076A7FD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C427F2" w14:paraId="61273139"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70C26E0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77BD0" w14:paraId="0556BA71"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E146D" w:rsidRDefault="00583237" w:rsidP="00C267FD">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14:paraId="22BB8D92" w14:textId="77777777" w:rsidR="008C62F2" w:rsidRPr="00862944"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Informações sobre a Chave do Produto</w:t>
      </w:r>
    </w:p>
    <w:p w14:paraId="22BB8D93" w14:textId="77777777" w:rsidR="003034F7" w:rsidRPr="008A46A3" w:rsidRDefault="003034F7" w:rsidP="00C267FD">
      <w:pPr>
        <w:rPr>
          <w:rFonts w:ascii="Tahoma" w:hAnsi="Tahoma" w:cs="Tahoma"/>
        </w:rPr>
      </w:pPr>
    </w:p>
    <w:p w14:paraId="22BB8D94" w14:textId="77777777" w:rsidR="008C62F2" w:rsidRPr="006329FC" w:rsidRDefault="00B017CA" w:rsidP="00C267FD">
      <w:pPr>
        <w:numPr>
          <w:ilvl w:val="0"/>
          <w:numId w:val="23"/>
        </w:numPr>
        <w:rPr>
          <w:rFonts w:ascii="Tahoma" w:hAnsi="Tahoma" w:cs="Tahoma"/>
        </w:rPr>
      </w:pPr>
      <w:r w:rsidRPr="006329FC">
        <w:rPr>
          <w:rFonts w:ascii="Tahoma" w:hAnsi="Tahoma" w:cs="Tahoma"/>
        </w:rPr>
        <w:t>Itens marcados com “s” – A chave de instalação do produto está incluída na etiqueta fornecida com a mídia.</w:t>
      </w:r>
    </w:p>
    <w:p w14:paraId="22BB8D95" w14:textId="69AB9937" w:rsidR="00B017CA" w:rsidRPr="006329FC" w:rsidRDefault="00B017CA" w:rsidP="00C267FD">
      <w:pPr>
        <w:numPr>
          <w:ilvl w:val="0"/>
          <w:numId w:val="23"/>
        </w:numPr>
        <w:rPr>
          <w:rFonts w:ascii="Tahoma" w:hAnsi="Tahoma" w:cs="Tahoma"/>
        </w:rPr>
      </w:pPr>
      <w:r w:rsidRPr="006329FC">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6329FC">
          <w:rPr>
            <w:rStyle w:val="Hyperlink"/>
            <w:rFonts w:ascii="Tahoma" w:hAnsi="Tahoma" w:cs="Tahoma"/>
          </w:rPr>
          <w:t>http://technet.microsoft.com/en-us/library/ff603511.aspx</w:t>
        </w:r>
      </w:hyperlink>
    </w:p>
    <w:p w14:paraId="22BB8D96" w14:textId="77777777" w:rsidR="00A26EDA" w:rsidRPr="006329FC" w:rsidRDefault="00B017CA" w:rsidP="00C267FD">
      <w:pPr>
        <w:numPr>
          <w:ilvl w:val="0"/>
          <w:numId w:val="23"/>
        </w:numPr>
        <w:rPr>
          <w:rFonts w:ascii="Tahoma" w:hAnsi="Tahoma" w:cs="Tahoma"/>
        </w:rPr>
      </w:pPr>
      <w:r w:rsidRPr="006329FC">
        <w:rPr>
          <w:rFonts w:ascii="Tahoma" w:hAnsi="Tahoma" w:cs="Tahoma"/>
        </w:rPr>
        <w:t xml:space="preserve">Itens marcados com “r” – Para obter chaves de CAL para RDS, entre em contato pelo email </w:t>
      </w:r>
      <w:hyperlink r:id="rId10" w:history="1">
        <w:r w:rsidRPr="006329FC">
          <w:rPr>
            <w:rStyle w:val="Hyperlink"/>
            <w:rFonts w:ascii="Tahoma" w:hAnsi="Tahoma" w:cs="Tahoma"/>
          </w:rPr>
          <w:t>isvroy@microsoft.com</w:t>
        </w:r>
      </w:hyperlink>
      <w:r w:rsidRPr="006329FC">
        <w:rPr>
          <w:rFonts w:ascii="Tahoma" w:hAnsi="Tahoma" w:cs="Tahoma"/>
        </w:rPr>
        <w:t xml:space="preserve"> </w:t>
      </w:r>
    </w:p>
    <w:p w14:paraId="22BB8D98" w14:textId="77777777" w:rsidR="000C5051" w:rsidRPr="008A46A3" w:rsidRDefault="000C5051" w:rsidP="00C267FD">
      <w:pPr>
        <w:rPr>
          <w:rFonts w:ascii="Tahoma" w:hAnsi="Tahoma" w:cs="Tahoma"/>
        </w:rPr>
      </w:pPr>
    </w:p>
    <w:p w14:paraId="22BB8D99" w14:textId="7B6A7665" w:rsidR="00555783" w:rsidRPr="00E718F4" w:rsidRDefault="00CC3B64" w:rsidP="00C267FD">
      <w:pPr>
        <w:rPr>
          <w:rFonts w:ascii="Tahoma" w:hAnsi="Tahoma" w:cs="Tahoma"/>
          <w:b/>
          <w:color w:val="FF6600"/>
          <w:sz w:val="24"/>
          <w:szCs w:val="24"/>
        </w:rPr>
      </w:pPr>
      <w:r>
        <w:rPr>
          <w:rFonts w:ascii="Tahoma" w:hAnsi="Tahoma" w:cs="Tahoma"/>
          <w:b/>
          <w:color w:val="FF6600"/>
          <w:sz w:val="24"/>
          <w:szCs w:val="24"/>
        </w:rPr>
        <w:t>Termos Adicionais do Programa</w:t>
      </w:r>
    </w:p>
    <w:p w14:paraId="22BB8D9A" w14:textId="77777777" w:rsidR="009D5753" w:rsidRPr="008A46A3" w:rsidRDefault="009D5753" w:rsidP="00C267FD">
      <w:pPr>
        <w:spacing w:before="120" w:after="20"/>
        <w:jc w:val="center"/>
        <w:rPr>
          <w:rFonts w:ascii="Tahoma" w:hAnsi="Tahoma" w:cs="Tahoma"/>
        </w:rPr>
      </w:pPr>
    </w:p>
    <w:p w14:paraId="22BB8D9B" w14:textId="146C1925" w:rsidR="00FA6CE6" w:rsidRPr="008A46A3" w:rsidRDefault="003034F7" w:rsidP="00C267FD">
      <w:pPr>
        <w:numPr>
          <w:ilvl w:val="0"/>
          <w:numId w:val="14"/>
        </w:numPr>
        <w:jc w:val="both"/>
        <w:rPr>
          <w:rFonts w:ascii="Tahoma" w:hAnsi="Tahoma" w:cs="Tahoma"/>
        </w:rPr>
      </w:pPr>
      <w:r>
        <w:rPr>
          <w:rFonts w:ascii="Tahoma" w:hAnsi="Tahoma" w:cs="Tahoma"/>
          <w:b/>
        </w:rPr>
        <w:t>Confidencialidade de Chave</w:t>
      </w:r>
      <w:r w:rsidRPr="00AD7038">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8A46A3" w:rsidRDefault="00FA6CE6" w:rsidP="00C267FD">
      <w:pPr>
        <w:pStyle w:val="Firstpara"/>
        <w:spacing w:before="0"/>
        <w:ind w:left="360"/>
        <w:jc w:val="both"/>
        <w:rPr>
          <w:rFonts w:ascii="Tahoma" w:hAnsi="Tahoma" w:cs="Tahoma"/>
        </w:rPr>
      </w:pPr>
    </w:p>
    <w:p w14:paraId="22BB8D9D" w14:textId="5E0B5588" w:rsidR="00CC3B64" w:rsidRPr="008A46A3" w:rsidRDefault="00CC3B64" w:rsidP="00C267FD">
      <w:pPr>
        <w:pStyle w:val="Firstpara"/>
        <w:numPr>
          <w:ilvl w:val="0"/>
          <w:numId w:val="14"/>
        </w:numPr>
        <w:spacing w:before="0"/>
        <w:jc w:val="both"/>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E" w14:textId="77777777" w:rsidR="003F3497" w:rsidRPr="008A46A3" w:rsidRDefault="003F3497" w:rsidP="00C267FD">
      <w:pPr>
        <w:rPr>
          <w:rFonts w:ascii="Tahoma" w:hAnsi="Tahoma" w:cs="Tahoma"/>
        </w:rPr>
      </w:pPr>
    </w:p>
    <w:p w14:paraId="22BB8D9F" w14:textId="6D164193" w:rsidR="003F3497" w:rsidRPr="007070EA" w:rsidRDefault="003F3497" w:rsidP="00C267FD">
      <w:pPr>
        <w:numPr>
          <w:ilvl w:val="0"/>
          <w:numId w:val="14"/>
        </w:numPr>
        <w:rPr>
          <w:rFonts w:ascii="Tahoma" w:hAnsi="Tahoma" w:cs="Tahoma"/>
        </w:rPr>
      </w:pPr>
      <w:r w:rsidRPr="007070EA">
        <w:rPr>
          <w:rFonts w:ascii="Tahoma" w:hAnsi="Tahoma" w:cs="Tahoma"/>
          <w:b/>
        </w:rPr>
        <w:t>Servidores Sem Vírus.</w:t>
      </w:r>
      <w:r w:rsidRPr="007070EA">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0" w14:textId="77777777" w:rsidR="00CC3B64" w:rsidRPr="007070EA" w:rsidRDefault="00CC3B64" w:rsidP="00C267FD">
      <w:pPr>
        <w:pStyle w:val="Firstpara"/>
        <w:spacing w:before="0"/>
        <w:ind w:left="0"/>
        <w:jc w:val="both"/>
        <w:rPr>
          <w:rFonts w:ascii="Tahoma" w:hAnsi="Tahoma" w:cs="Tahoma"/>
        </w:rPr>
      </w:pPr>
    </w:p>
    <w:p w14:paraId="22BB8DA1" w14:textId="3F0513DF" w:rsidR="00CC3B64" w:rsidRPr="007070EA" w:rsidRDefault="00CC3B64" w:rsidP="00C267FD">
      <w:pPr>
        <w:pStyle w:val="Firstpara"/>
        <w:numPr>
          <w:ilvl w:val="0"/>
          <w:numId w:val="14"/>
        </w:numPr>
        <w:spacing w:before="0"/>
        <w:jc w:val="both"/>
        <w:rPr>
          <w:rFonts w:ascii="Tahoma" w:hAnsi="Tahoma" w:cs="Tahoma"/>
        </w:rPr>
      </w:pPr>
      <w:r w:rsidRPr="007070EA">
        <w:rPr>
          <w:rFonts w:ascii="Tahoma" w:hAnsi="Tahoma" w:cs="Tahoma"/>
          <w:b/>
        </w:rPr>
        <w:t>Requisitos de Licença.</w:t>
      </w:r>
      <w:r w:rsidRPr="007070EA">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2" w14:textId="31E9CA6D" w:rsidR="00AC12F9" w:rsidRPr="007070EA" w:rsidRDefault="00AC12F9" w:rsidP="00C267FD">
      <w:pPr>
        <w:rPr>
          <w:rFonts w:ascii="Tahoma" w:hAnsi="Tahoma" w:cs="Tahoma"/>
        </w:rPr>
      </w:pPr>
    </w:p>
    <w:p w14:paraId="22BB8DA3" w14:textId="6DBA3966" w:rsidR="00CC3B64" w:rsidRDefault="00CC3B64" w:rsidP="00C267FD">
      <w:pPr>
        <w:numPr>
          <w:ilvl w:val="0"/>
          <w:numId w:val="14"/>
        </w:numPr>
        <w:jc w:val="both"/>
        <w:rPr>
          <w:rFonts w:ascii="Tahoma" w:hAnsi="Tahoma" w:cs="Tahoma"/>
        </w:rPr>
      </w:pPr>
      <w:r w:rsidRPr="007070EA">
        <w:rPr>
          <w:rFonts w:ascii="Tahoma" w:hAnsi="Tahoma" w:cs="Tahoma"/>
          <w:b/>
        </w:rPr>
        <w:t>Esclarecimento sobre Links para Sites de Terceiros.</w:t>
      </w:r>
      <w:r w:rsidRPr="007070EA">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55D6282E" w14:textId="77777777" w:rsidR="00823EE7" w:rsidRPr="00EA12B6" w:rsidRDefault="00823EE7" w:rsidP="00EA12B6">
      <w:pPr>
        <w:pStyle w:val="Firstpara"/>
        <w:spacing w:before="0"/>
        <w:ind w:left="360"/>
        <w:jc w:val="both"/>
        <w:rPr>
          <w:rFonts w:ascii="Tahoma" w:hAnsi="Tahoma" w:cs="Tahoma"/>
          <w:lang w:val="en-US" w:eastAsia="en-US" w:bidi="ar-SA"/>
        </w:rPr>
      </w:pPr>
    </w:p>
    <w:p w14:paraId="22BB8DA5" w14:textId="33AD8910" w:rsidR="00CC3B64" w:rsidRPr="008A46A3" w:rsidRDefault="00CC3B64" w:rsidP="00C267FD">
      <w:pPr>
        <w:numPr>
          <w:ilvl w:val="0"/>
          <w:numId w:val="14"/>
        </w:numPr>
        <w:jc w:val="both"/>
        <w:rPr>
          <w:rFonts w:ascii="Tahoma" w:hAnsi="Tahoma" w:cs="Tahoma"/>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6" w14:textId="77777777" w:rsidR="00CC3B64" w:rsidRPr="008A46A3" w:rsidRDefault="00CC3B64" w:rsidP="00C267FD">
      <w:pPr>
        <w:jc w:val="both"/>
        <w:rPr>
          <w:rFonts w:ascii="Tahoma" w:hAnsi="Tahoma" w:cs="Tahoma"/>
        </w:rPr>
      </w:pPr>
    </w:p>
    <w:p w14:paraId="22BB8DA7" w14:textId="77777777" w:rsidR="00CC3B64" w:rsidRPr="008A46A3" w:rsidRDefault="00CC3B64" w:rsidP="00C267FD">
      <w:pPr>
        <w:numPr>
          <w:ilvl w:val="0"/>
          <w:numId w:val="3"/>
        </w:numPr>
        <w:jc w:val="both"/>
        <w:rPr>
          <w:rFonts w:ascii="Tahoma" w:hAnsi="Tahoma" w:cs="Tahoma"/>
        </w:rPr>
      </w:pPr>
      <w:r>
        <w:rPr>
          <w:rFonts w:ascii="Tahoma" w:hAnsi="Tahoma" w:cs="Tahoma"/>
        </w:rPr>
        <w:t>Você deverá primeiro assinar um Contrato Acadêmico e um Academic Enrollment.</w:t>
      </w:r>
    </w:p>
    <w:p w14:paraId="22BB8DA8" w14:textId="77777777" w:rsidR="00CC3B64" w:rsidRPr="008A46A3" w:rsidRDefault="00CC3B64" w:rsidP="00C267FD">
      <w:pPr>
        <w:numPr>
          <w:ilvl w:val="0"/>
          <w:numId w:val="3"/>
        </w:numPr>
        <w:jc w:val="both"/>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4F1D9724" w:rsidR="00CC3B64" w:rsidRPr="008A46A3" w:rsidRDefault="00CC3B64" w:rsidP="00C267FD">
      <w:pPr>
        <w:numPr>
          <w:ilvl w:val="0"/>
          <w:numId w:val="3"/>
        </w:numPr>
        <w:jc w:val="both"/>
        <w:rPr>
          <w:rFonts w:ascii="Tahoma" w:hAnsi="Tahoma" w:cs="Tahoma"/>
        </w:rPr>
      </w:pPr>
      <w:r>
        <w:rPr>
          <w:rFonts w:ascii="Tahoma" w:hAnsi="Tahoma" w:cs="Tahoma"/>
        </w:rPr>
        <w:t xml:space="preserve">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 </w:t>
      </w:r>
    </w:p>
    <w:p w14:paraId="22BB8DAA" w14:textId="77777777" w:rsidR="00CC3B64" w:rsidRPr="008A46A3" w:rsidRDefault="00CC3B64" w:rsidP="00C267FD">
      <w:pPr>
        <w:ind w:firstLine="720"/>
        <w:jc w:val="both"/>
        <w:rPr>
          <w:rFonts w:ascii="Tahoma" w:hAnsi="Tahoma" w:cs="Tahoma"/>
        </w:rPr>
      </w:pPr>
    </w:p>
    <w:p w14:paraId="22BB8DAB" w14:textId="4567C1CB" w:rsidR="00CC3B64" w:rsidRPr="008A46A3" w:rsidRDefault="00CC3B64" w:rsidP="00C267FD">
      <w:pPr>
        <w:ind w:firstLine="360"/>
        <w:jc w:val="both"/>
        <w:rPr>
          <w:rFonts w:ascii="Tahoma" w:hAnsi="Tahoma" w:cs="Tahoma"/>
        </w:rPr>
      </w:pPr>
      <w:r>
        <w:rPr>
          <w:rFonts w:ascii="Tahoma" w:hAnsi="Tahoma" w:cs="Tahoma"/>
        </w:rPr>
        <w:t>Os critérios de Usuário Final educacional qualificado são especificados no Registro Academic.</w:t>
      </w:r>
    </w:p>
    <w:p w14:paraId="22BB8DAC" w14:textId="77777777" w:rsidR="009E28CD" w:rsidRPr="008A46A3" w:rsidRDefault="009E28CD" w:rsidP="00C267FD">
      <w:pPr>
        <w:rPr>
          <w:rFonts w:ascii="Tahoma" w:hAnsi="Tahoma" w:cs="Tahoma"/>
        </w:rPr>
      </w:pPr>
    </w:p>
    <w:p w14:paraId="22BB8DAD" w14:textId="2E264808" w:rsidR="00554191" w:rsidRPr="008A46A3" w:rsidRDefault="00554191" w:rsidP="00C267FD">
      <w:pPr>
        <w:pStyle w:val="Firstpara"/>
        <w:numPr>
          <w:ilvl w:val="0"/>
          <w:numId w:val="14"/>
        </w:numPr>
        <w:spacing w:before="0"/>
        <w:jc w:val="both"/>
        <w:rPr>
          <w:rFonts w:ascii="Tahoma" w:hAnsi="Tahoma" w:cs="Tahoma"/>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E" w14:textId="77777777" w:rsidR="00554191" w:rsidRPr="008A46A3" w:rsidRDefault="00554191" w:rsidP="00C267FD">
      <w:pPr>
        <w:jc w:val="both"/>
        <w:rPr>
          <w:rFonts w:ascii="Tahoma" w:hAnsi="Tahoma" w:cs="Tahoma"/>
        </w:rPr>
      </w:pPr>
    </w:p>
    <w:p w14:paraId="22BB8DAF" w14:textId="77777777" w:rsidR="00554191" w:rsidRPr="008A46A3" w:rsidRDefault="00554191" w:rsidP="00C267FD">
      <w:pPr>
        <w:numPr>
          <w:ilvl w:val="0"/>
          <w:numId w:val="2"/>
        </w:numPr>
        <w:tabs>
          <w:tab w:val="clear" w:pos="720"/>
        </w:tabs>
        <w:ind w:left="1260"/>
        <w:jc w:val="both"/>
        <w:rPr>
          <w:rFonts w:ascii="Tahoma" w:hAnsi="Tahoma" w:cs="Tahoma"/>
        </w:rPr>
      </w:pPr>
      <w:r>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8A46A3" w:rsidRDefault="00554191" w:rsidP="00C267FD">
      <w:pPr>
        <w:numPr>
          <w:ilvl w:val="0"/>
          <w:numId w:val="2"/>
        </w:numPr>
        <w:tabs>
          <w:tab w:val="clear" w:pos="720"/>
        </w:tabs>
        <w:ind w:left="1260"/>
        <w:jc w:val="both"/>
        <w:rPr>
          <w:rFonts w:ascii="Tahoma" w:hAnsi="Tahoma" w:cs="Tahoma"/>
        </w:rPr>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4964E224" w14:textId="65D98EF4" w:rsidR="006A34DC" w:rsidRPr="008A46A3" w:rsidRDefault="006A34DC" w:rsidP="00C267FD">
      <w:pPr>
        <w:jc w:val="both"/>
        <w:rPr>
          <w:rFonts w:ascii="Tahoma" w:hAnsi="Tahoma" w:cs="Tahoma"/>
        </w:rPr>
      </w:pPr>
    </w:p>
    <w:p w14:paraId="39597029" w14:textId="1150EC15" w:rsidR="006A34DC" w:rsidRPr="008A46A3" w:rsidRDefault="006A34DC" w:rsidP="00DA1DEE">
      <w:pPr>
        <w:pStyle w:val="Firstpara"/>
        <w:numPr>
          <w:ilvl w:val="0"/>
          <w:numId w:val="14"/>
        </w:numPr>
        <w:spacing w:before="0"/>
        <w:ind w:left="446"/>
        <w:jc w:val="both"/>
        <w:rPr>
          <w:rFonts w:ascii="Tahoma" w:hAnsi="Tahoma" w:cs="Tahoma"/>
        </w:rPr>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7910F228" w14:textId="77777777" w:rsidR="00DA1DEE" w:rsidRPr="008A46A3" w:rsidRDefault="00DA1DEE" w:rsidP="00DA1DEE">
      <w:pPr>
        <w:pStyle w:val="Firstpara"/>
        <w:spacing w:before="0"/>
        <w:ind w:left="446"/>
        <w:jc w:val="both"/>
        <w:rPr>
          <w:rFonts w:ascii="Tahoma" w:hAnsi="Tahoma" w:cs="Tahoma"/>
        </w:rPr>
      </w:pPr>
    </w:p>
    <w:p w14:paraId="02ACAF5D" w14:textId="3343820D" w:rsidR="00DA1DEE" w:rsidRPr="00F14557" w:rsidRDefault="00DA1DEE" w:rsidP="00DA1DEE">
      <w:pPr>
        <w:pStyle w:val="NoSpacing"/>
        <w:numPr>
          <w:ilvl w:val="0"/>
          <w:numId w:val="14"/>
        </w:numPr>
        <w:rPr>
          <w:rFonts w:ascii="Tahoma" w:hAnsi="Tahoma" w:cs="Tahoma"/>
          <w:sz w:val="20"/>
          <w:szCs w:val="20"/>
        </w:rPr>
      </w:pPr>
      <w:r w:rsidRPr="00F14557">
        <w:rPr>
          <w:rFonts w:ascii="Tahoma" w:eastAsia="MS Mincho" w:hAnsi="Tahoma" w:cs="Tahoma"/>
          <w:b/>
          <w:sz w:val="20"/>
          <w:szCs w:val="20"/>
        </w:rPr>
        <w:t xml:space="preserve">Direitos de Downgrade. </w:t>
      </w:r>
      <w:r w:rsidRPr="00F14557">
        <w:rPr>
          <w:rFonts w:ascii="Tahoma" w:hAnsi="Tahoma" w:cs="Tahoma"/>
          <w:color w:val="000000"/>
          <w:sz w:val="20"/>
          <w:szCs w:val="20"/>
        </w:rPr>
        <w:t xml:space="preserve">Não obstante qualquer outra cláusula do Contrato ou dos Termos de Licença da Microsoft, você poderá indicar uma versão atual de um Produto e distribuir uma versão anterior do Produto que ainda tenha suporte </w:t>
      </w:r>
      <w:r w:rsidRPr="00F14557">
        <w:rPr>
          <w:rFonts w:ascii="Tahoma" w:hAnsi="Tahoma" w:cs="Tahoma"/>
          <w:sz w:val="20"/>
          <w:szCs w:val="20"/>
        </w:rPr>
        <w:t xml:space="preserve">na </w:t>
      </w:r>
      <w:r w:rsidRPr="00F14557">
        <w:rPr>
          <w:rFonts w:ascii="Tahoma" w:hAnsi="Tahoma" w:cs="Tahoma"/>
          <w:color w:val="000000"/>
          <w:sz w:val="20"/>
          <w:szCs w:val="20"/>
        </w:rPr>
        <w:t xml:space="preserve">Data de Término de Suporte Estendido da Microsoft conforme estabelecido na Política de Ciclo de Vida de Suporte da Microsoft </w:t>
      </w:r>
      <w:hyperlink r:id="rId12" w:history="1">
        <w:r w:rsidRPr="00F14557">
          <w:rPr>
            <w:rStyle w:val="Hyperlink"/>
            <w:rFonts w:ascii="Tahoma" w:hAnsi="Tahoma" w:cs="Tahoma"/>
            <w:sz w:val="20"/>
            <w:szCs w:val="20"/>
          </w:rPr>
          <w:t>https://support.microsoft.com/gp/lifeselect</w:t>
        </w:r>
      </w:hyperlink>
      <w:r w:rsidRPr="00F14557">
        <w:rPr>
          <w:rFonts w:ascii="Tahoma" w:hAnsi="Tahoma" w:cs="Tahoma"/>
          <w:sz w:val="20"/>
          <w:szCs w:val="20"/>
        </w:rPr>
        <w:t xml:space="preserve"> ou em um site sucessor identificado pela Microsoft.</w:t>
      </w:r>
      <w:r w:rsidR="00127888" w:rsidRPr="00F14557">
        <w:rPr>
          <w:rFonts w:ascii="Tahoma" w:hAnsi="Tahoma" w:cs="Tahoma"/>
          <w:sz w:val="20"/>
          <w:szCs w:val="20"/>
        </w:rPr>
        <w:t xml:space="preserve"> </w:t>
      </w:r>
      <w:r w:rsidRPr="00F14557">
        <w:rPr>
          <w:rFonts w:ascii="Tahoma" w:hAnsi="Tahoma" w:cs="Tahoma"/>
          <w:color w:val="000000"/>
          <w:sz w:val="20"/>
          <w:szCs w:val="20"/>
        </w:rPr>
        <w:t>O direito de distribuir uma versão anterior dos Produtos de acordo com estes Direitos de Downgrade não amplia o Ciclo de Vida de Suporte de versões anteriores dos Produtos</w:t>
      </w:r>
      <w:r w:rsidRPr="00F14557">
        <w:rPr>
          <w:rFonts w:ascii="Tahoma" w:hAnsi="Tahoma" w:cs="Tahoma"/>
          <w:sz w:val="20"/>
          <w:szCs w:val="20"/>
        </w:rPr>
        <w:t xml:space="preserve">. </w:t>
      </w:r>
      <w:r w:rsidRPr="00F14557">
        <w:rPr>
          <w:rFonts w:ascii="Tahoma" w:hAnsi="Tahoma" w:cs="Tahoma"/>
          <w:color w:val="000000"/>
          <w:sz w:val="20"/>
          <w:szCs w:val="20"/>
        </w:rPr>
        <w:t>Você deve licenciar os Produtos distribuídos de acordo com os Termos de Licença da Microsoft para o Produto indicado.</w:t>
      </w:r>
    </w:p>
    <w:p w14:paraId="1ED17B0A" w14:textId="77777777" w:rsidR="003331FA" w:rsidRPr="008A46A3"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35D02FF8" w14:textId="77777777" w:rsidR="00DA1DEE" w:rsidRPr="007E146D" w:rsidRDefault="00DA1DEE" w:rsidP="00BD4692">
      <w:pPr>
        <w:pStyle w:val="NoSpacing"/>
        <w:ind w:left="450"/>
      </w:pPr>
    </w:p>
    <w:p w14:paraId="47A40D7A" w14:textId="5E61B4AE" w:rsidR="00DA1DEE" w:rsidRPr="008A46A3" w:rsidRDefault="00DA1DEE" w:rsidP="00DA1DEE">
      <w:pPr>
        <w:pStyle w:val="ListParagraph"/>
        <w:numPr>
          <w:ilvl w:val="0"/>
          <w:numId w:val="14"/>
        </w:numPr>
        <w:rPr>
          <w:rFonts w:ascii="Tahoma" w:hAnsi="Tahoma" w:cs="Tahoma"/>
        </w:rPr>
      </w:pPr>
      <w:r>
        <w:rPr>
          <w:rFonts w:ascii="Tahoma" w:hAnsi="Tahoma" w:cs="Tahoma"/>
          <w:b/>
        </w:rPr>
        <w:t>Distribuição Estendida.</w:t>
      </w:r>
      <w:r w:rsidR="00127888">
        <w:rPr>
          <w:rFonts w:ascii="Tahoma" w:hAnsi="Tahoma" w:cs="Tahoma"/>
          <w:b/>
        </w:rPr>
        <w:t xml:space="preserve">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5EDFC484" w14:textId="77777777" w:rsidR="00DA1DEE" w:rsidRPr="008A46A3" w:rsidRDefault="00DA1DEE" w:rsidP="00BD4692">
      <w:pPr>
        <w:pStyle w:val="ListParagraph"/>
        <w:ind w:left="450"/>
        <w:rPr>
          <w:rFonts w:ascii="Tahoma" w:hAnsi="Tahoma" w:cs="Tahoma"/>
        </w:rPr>
      </w:pPr>
    </w:p>
    <w:p w14:paraId="7BA5E951" w14:textId="77777777" w:rsidR="00DA1DEE" w:rsidRPr="008A46A3" w:rsidRDefault="00DA1DEE" w:rsidP="00BD4692">
      <w:pPr>
        <w:pStyle w:val="ListParagraph"/>
        <w:ind w:left="450"/>
        <w:jc w:val="both"/>
        <w:rPr>
          <w:rFonts w:ascii="Tahoma" w:hAnsi="Tahoma" w:cs="Tahoma"/>
        </w:rPr>
      </w:pPr>
      <w:r>
        <w:rPr>
          <w:rFonts w:ascii="Tahoma" w:hAnsi="Tahoma" w:cs="Tahoma"/>
        </w:rPr>
        <w:t>Essa extensão da Distribuição Estendida não se aplica aos produtos a seguir. Você só poderá distribuir os produtos a seguir por até 24 meses após a remoção do Produto da Lista de Produtos do ISVR.</w:t>
      </w:r>
    </w:p>
    <w:p w14:paraId="4982D87D" w14:textId="77777777" w:rsidR="00DA1DEE" w:rsidRPr="00C472E7" w:rsidRDefault="00DA1DEE" w:rsidP="00BD4692">
      <w:pPr>
        <w:pStyle w:val="ListParagraph"/>
        <w:ind w:left="450"/>
        <w:jc w:val="both"/>
        <w:rPr>
          <w:rFonts w:asciiTheme="majorBidi" w:hAnsiTheme="majorBidi" w:cstheme="majorBidi"/>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Nome do Produto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rPr>
            </w:pPr>
            <w:r>
              <w:rPr>
                <w:rFonts w:ascii="Tahoma" w:hAnsi="Tahoma" w:cs="Tahoma"/>
                <w:bCs/>
                <w:iCs/>
                <w:sz w:val="18"/>
                <w:szCs w:val="19"/>
              </w:rPr>
              <w:t>SQL Server 2008 R2 Standard, Enterprise, Datacenter e Workgroup Editions (Todas as Versões)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rPr>
            </w:pPr>
            <w:r>
              <w:rPr>
                <w:rFonts w:ascii="Tahoma" w:hAnsi="Tahoma" w:cs="Tahoma"/>
                <w:bCs/>
                <w:iCs/>
                <w:sz w:val="18"/>
                <w:szCs w:val="19"/>
              </w:rPr>
              <w:t>BizTalk Server 2010 Branch, Standard e Enterprise Editions (Todas as versões)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rPr>
            </w:pPr>
            <w:r>
              <w:rPr>
                <w:rFonts w:ascii="Tahoma" w:hAnsi="Tahoma" w:cs="Tahoma"/>
                <w:bCs/>
                <w:iCs/>
                <w:sz w:val="18"/>
                <w:szCs w:val="19"/>
              </w:rPr>
              <w:t>MapPoint (Todas as Versões)</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4C7E" w14:textId="77777777" w:rsidR="00A8030E" w:rsidRDefault="00A8030E">
      <w:r>
        <w:separator/>
      </w:r>
    </w:p>
  </w:endnote>
  <w:endnote w:type="continuationSeparator" w:id="0">
    <w:p w14:paraId="3EF4CE89" w14:textId="77777777" w:rsidR="00A8030E" w:rsidRDefault="00A8030E">
      <w:r>
        <w:continuationSeparator/>
      </w:r>
    </w:p>
  </w:endnote>
  <w:endnote w:type="continuationNotice" w:id="1">
    <w:p w14:paraId="484C3DF4" w14:textId="77777777" w:rsidR="00A8030E" w:rsidRDefault="00A8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803D" w14:textId="77777777" w:rsidR="00EF736D" w:rsidRDefault="00EF7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156B" w14:textId="77777777" w:rsidR="00230850" w:rsidRPr="009E2ED0" w:rsidRDefault="00230850" w:rsidP="0023085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F736D">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EF736D">
      <w:rPr>
        <w:rStyle w:val="PageNumber"/>
        <w:rFonts w:cs="Times New Roman"/>
        <w:noProof/>
      </w:rPr>
      <w:t>9</w:t>
    </w:r>
    <w:r w:rsidRPr="009E2ED0">
      <w:rPr>
        <w:rStyle w:val="PageNumber"/>
        <w:rFonts w:cs="Times New Roman"/>
      </w:rPr>
      <w:fldChar w:fldCharType="end"/>
    </w:r>
  </w:p>
  <w:p w14:paraId="49FD7D7E" w14:textId="77777777" w:rsidR="00230850" w:rsidRPr="009E2ED0" w:rsidRDefault="00230850" w:rsidP="0023085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958C" w14:textId="77777777" w:rsidR="001833AC" w:rsidRPr="009E2ED0" w:rsidRDefault="001833AC" w:rsidP="001833A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8030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A8030E">
      <w:rPr>
        <w:rStyle w:val="PageNumber"/>
        <w:rFonts w:cs="Times New Roman"/>
        <w:noProof/>
      </w:rPr>
      <w:t>1</w:t>
    </w:r>
    <w:r w:rsidRPr="009E2ED0">
      <w:rPr>
        <w:rStyle w:val="PageNumber"/>
        <w:rFonts w:cs="Times New Roman"/>
      </w:rPr>
      <w:fldChar w:fldCharType="end"/>
    </w:r>
  </w:p>
  <w:p w14:paraId="6933F9BE" w14:textId="77777777" w:rsidR="001833AC" w:rsidRPr="009E2ED0" w:rsidRDefault="001833AC" w:rsidP="001833AC">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F21E" w14:textId="77777777" w:rsidR="00A8030E" w:rsidRDefault="00A8030E">
      <w:r>
        <w:separator/>
      </w:r>
    </w:p>
  </w:footnote>
  <w:footnote w:type="continuationSeparator" w:id="0">
    <w:p w14:paraId="12B9D1E7" w14:textId="77777777" w:rsidR="00A8030E" w:rsidRDefault="00A8030E">
      <w:r>
        <w:continuationSeparator/>
      </w:r>
    </w:p>
  </w:footnote>
  <w:footnote w:type="continuationNotice" w:id="1">
    <w:p w14:paraId="55590548" w14:textId="77777777" w:rsidR="00A8030E" w:rsidRDefault="00A8030E"/>
  </w:footnote>
  <w:footnote w:id="2">
    <w:p w14:paraId="50814A03" w14:textId="77777777" w:rsidR="00652CA0" w:rsidRDefault="00652CA0" w:rsidP="00652CA0">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352E" w14:textId="77777777" w:rsidR="00EF736D" w:rsidRDefault="00EF7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B67A01DC"/>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EB281F48"/>
    <w:lvl w:ilvl="0" w:tplc="61AC575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84CAA27E"/>
    <w:lvl w:ilvl="0" w:tplc="4C48D078">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i08VWrOCJpIKn4y8PNIaVKH36vSdZVmJUN9EkY3l2wHGfdPxHtlD4gEL4FxrFGHsG+sTslpc8UyYitivhhtMg==" w:salt="ZFLasAxmNAcuTVcm6Du8a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12"/>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332"/>
    <w:rsid w:val="00071C9C"/>
    <w:rsid w:val="00072BE0"/>
    <w:rsid w:val="000746F2"/>
    <w:rsid w:val="000776D5"/>
    <w:rsid w:val="00083351"/>
    <w:rsid w:val="00085AAA"/>
    <w:rsid w:val="0008708F"/>
    <w:rsid w:val="00087B56"/>
    <w:rsid w:val="0009289E"/>
    <w:rsid w:val="000974CA"/>
    <w:rsid w:val="000A26BF"/>
    <w:rsid w:val="000B30FE"/>
    <w:rsid w:val="000B4BC7"/>
    <w:rsid w:val="000B6B47"/>
    <w:rsid w:val="000B7A97"/>
    <w:rsid w:val="000C0F19"/>
    <w:rsid w:val="000C0FA4"/>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318"/>
    <w:rsid w:val="000F2784"/>
    <w:rsid w:val="000F2E4D"/>
    <w:rsid w:val="000F4D0A"/>
    <w:rsid w:val="000F65AB"/>
    <w:rsid w:val="000F65EB"/>
    <w:rsid w:val="000F7011"/>
    <w:rsid w:val="000F7FD2"/>
    <w:rsid w:val="00101336"/>
    <w:rsid w:val="001021F7"/>
    <w:rsid w:val="00103E5C"/>
    <w:rsid w:val="00106756"/>
    <w:rsid w:val="00106C1A"/>
    <w:rsid w:val="00111054"/>
    <w:rsid w:val="00112428"/>
    <w:rsid w:val="00113941"/>
    <w:rsid w:val="00113B1D"/>
    <w:rsid w:val="00114D03"/>
    <w:rsid w:val="0011500A"/>
    <w:rsid w:val="0012183C"/>
    <w:rsid w:val="00121A63"/>
    <w:rsid w:val="001238C6"/>
    <w:rsid w:val="00123FE2"/>
    <w:rsid w:val="00125455"/>
    <w:rsid w:val="00127888"/>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2A"/>
    <w:rsid w:val="0016748C"/>
    <w:rsid w:val="00167491"/>
    <w:rsid w:val="00170030"/>
    <w:rsid w:val="00170E18"/>
    <w:rsid w:val="00175D1D"/>
    <w:rsid w:val="0017629E"/>
    <w:rsid w:val="001773A4"/>
    <w:rsid w:val="0018038A"/>
    <w:rsid w:val="00182600"/>
    <w:rsid w:val="001833AC"/>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1F"/>
    <w:rsid w:val="00197898"/>
    <w:rsid w:val="00197A9E"/>
    <w:rsid w:val="001A1475"/>
    <w:rsid w:val="001A15DE"/>
    <w:rsid w:val="001A1A52"/>
    <w:rsid w:val="001A3334"/>
    <w:rsid w:val="001A6C63"/>
    <w:rsid w:val="001A74A7"/>
    <w:rsid w:val="001B19DC"/>
    <w:rsid w:val="001C08E4"/>
    <w:rsid w:val="001C12AE"/>
    <w:rsid w:val="001C35D3"/>
    <w:rsid w:val="001C406B"/>
    <w:rsid w:val="001C5405"/>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50"/>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F01"/>
    <w:rsid w:val="002F2839"/>
    <w:rsid w:val="002F2B98"/>
    <w:rsid w:val="002F32FF"/>
    <w:rsid w:val="002F3D78"/>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979C2"/>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5FFC"/>
    <w:rsid w:val="003C6734"/>
    <w:rsid w:val="003D2DBE"/>
    <w:rsid w:val="003D68D9"/>
    <w:rsid w:val="003D6A0B"/>
    <w:rsid w:val="003E08C3"/>
    <w:rsid w:val="003E2652"/>
    <w:rsid w:val="003E61A9"/>
    <w:rsid w:val="003E6375"/>
    <w:rsid w:val="003E651A"/>
    <w:rsid w:val="003E7579"/>
    <w:rsid w:val="003F1B96"/>
    <w:rsid w:val="003F3497"/>
    <w:rsid w:val="003F520A"/>
    <w:rsid w:val="00406C21"/>
    <w:rsid w:val="004153E4"/>
    <w:rsid w:val="00415C91"/>
    <w:rsid w:val="00415F69"/>
    <w:rsid w:val="00417326"/>
    <w:rsid w:val="004209D6"/>
    <w:rsid w:val="00420A94"/>
    <w:rsid w:val="004238A5"/>
    <w:rsid w:val="00423D6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0DCE"/>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404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4F65E3"/>
    <w:rsid w:val="00501865"/>
    <w:rsid w:val="00503535"/>
    <w:rsid w:val="00503626"/>
    <w:rsid w:val="00506079"/>
    <w:rsid w:val="005061FD"/>
    <w:rsid w:val="00507575"/>
    <w:rsid w:val="00511F63"/>
    <w:rsid w:val="005133C5"/>
    <w:rsid w:val="00514FC2"/>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51C0"/>
    <w:rsid w:val="00546D53"/>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29C"/>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AB9"/>
    <w:rsid w:val="005F6018"/>
    <w:rsid w:val="00600071"/>
    <w:rsid w:val="006026E7"/>
    <w:rsid w:val="00605AEC"/>
    <w:rsid w:val="00607956"/>
    <w:rsid w:val="006116D1"/>
    <w:rsid w:val="00622416"/>
    <w:rsid w:val="0062247C"/>
    <w:rsid w:val="00625AC8"/>
    <w:rsid w:val="006314DB"/>
    <w:rsid w:val="00631EB6"/>
    <w:rsid w:val="006329FC"/>
    <w:rsid w:val="00633B2F"/>
    <w:rsid w:val="00634DC1"/>
    <w:rsid w:val="0063612C"/>
    <w:rsid w:val="00636D18"/>
    <w:rsid w:val="00642EC8"/>
    <w:rsid w:val="006438C9"/>
    <w:rsid w:val="00644C7A"/>
    <w:rsid w:val="00646DD2"/>
    <w:rsid w:val="00650374"/>
    <w:rsid w:val="00652CA0"/>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1C8E"/>
    <w:rsid w:val="006A34DC"/>
    <w:rsid w:val="006A5B88"/>
    <w:rsid w:val="006A5CE2"/>
    <w:rsid w:val="006A6763"/>
    <w:rsid w:val="006A6C85"/>
    <w:rsid w:val="006C10F4"/>
    <w:rsid w:val="006C2114"/>
    <w:rsid w:val="006C410F"/>
    <w:rsid w:val="006C4859"/>
    <w:rsid w:val="006C5F0B"/>
    <w:rsid w:val="006D12A6"/>
    <w:rsid w:val="006D1842"/>
    <w:rsid w:val="006D2E37"/>
    <w:rsid w:val="006D3BEC"/>
    <w:rsid w:val="006D592D"/>
    <w:rsid w:val="006D6278"/>
    <w:rsid w:val="006E1A93"/>
    <w:rsid w:val="006E1EAD"/>
    <w:rsid w:val="006E3347"/>
    <w:rsid w:val="006F122D"/>
    <w:rsid w:val="006F2741"/>
    <w:rsid w:val="006F3608"/>
    <w:rsid w:val="006F58DB"/>
    <w:rsid w:val="007070EA"/>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17E2"/>
    <w:rsid w:val="00782689"/>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5BE"/>
    <w:rsid w:val="007C0C18"/>
    <w:rsid w:val="007C1382"/>
    <w:rsid w:val="007C3832"/>
    <w:rsid w:val="007C4E84"/>
    <w:rsid w:val="007C5E96"/>
    <w:rsid w:val="007C6EB2"/>
    <w:rsid w:val="007D6EC8"/>
    <w:rsid w:val="007D7F93"/>
    <w:rsid w:val="007E146D"/>
    <w:rsid w:val="007E70A1"/>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3EE7"/>
    <w:rsid w:val="008247C4"/>
    <w:rsid w:val="008254E4"/>
    <w:rsid w:val="00826789"/>
    <w:rsid w:val="0082777B"/>
    <w:rsid w:val="00830ED6"/>
    <w:rsid w:val="008327BC"/>
    <w:rsid w:val="0083396B"/>
    <w:rsid w:val="00835DEB"/>
    <w:rsid w:val="00835EAE"/>
    <w:rsid w:val="0083608A"/>
    <w:rsid w:val="008363BE"/>
    <w:rsid w:val="00836743"/>
    <w:rsid w:val="00837E60"/>
    <w:rsid w:val="0085004A"/>
    <w:rsid w:val="00852B83"/>
    <w:rsid w:val="00854134"/>
    <w:rsid w:val="008561C0"/>
    <w:rsid w:val="00860040"/>
    <w:rsid w:val="00860C66"/>
    <w:rsid w:val="00860EF9"/>
    <w:rsid w:val="00862944"/>
    <w:rsid w:val="00866BC8"/>
    <w:rsid w:val="00867C6D"/>
    <w:rsid w:val="00867F42"/>
    <w:rsid w:val="00870933"/>
    <w:rsid w:val="008733F1"/>
    <w:rsid w:val="00875821"/>
    <w:rsid w:val="0088020C"/>
    <w:rsid w:val="00881F28"/>
    <w:rsid w:val="00886B1E"/>
    <w:rsid w:val="008915AF"/>
    <w:rsid w:val="0089246F"/>
    <w:rsid w:val="00893DCE"/>
    <w:rsid w:val="00897464"/>
    <w:rsid w:val="008A0E02"/>
    <w:rsid w:val="008A436D"/>
    <w:rsid w:val="008A46A3"/>
    <w:rsid w:val="008A799D"/>
    <w:rsid w:val="008B10EB"/>
    <w:rsid w:val="008B1902"/>
    <w:rsid w:val="008B218A"/>
    <w:rsid w:val="008B7698"/>
    <w:rsid w:val="008C274A"/>
    <w:rsid w:val="008C2BE9"/>
    <w:rsid w:val="008C38CA"/>
    <w:rsid w:val="008C4CA4"/>
    <w:rsid w:val="008C609F"/>
    <w:rsid w:val="008C62F2"/>
    <w:rsid w:val="008C65C1"/>
    <w:rsid w:val="008C6B72"/>
    <w:rsid w:val="008D137C"/>
    <w:rsid w:val="008D28E1"/>
    <w:rsid w:val="008D540A"/>
    <w:rsid w:val="008D60CF"/>
    <w:rsid w:val="008D79F1"/>
    <w:rsid w:val="008E195C"/>
    <w:rsid w:val="008E45A4"/>
    <w:rsid w:val="008E581A"/>
    <w:rsid w:val="008E64A4"/>
    <w:rsid w:val="008E6E69"/>
    <w:rsid w:val="008F3108"/>
    <w:rsid w:val="008F3373"/>
    <w:rsid w:val="008F3E36"/>
    <w:rsid w:val="008F4C47"/>
    <w:rsid w:val="008F6CA9"/>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0D26"/>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14E"/>
    <w:rsid w:val="00982E66"/>
    <w:rsid w:val="00983D0F"/>
    <w:rsid w:val="0098422A"/>
    <w:rsid w:val="009845FD"/>
    <w:rsid w:val="00984696"/>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5538"/>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639C"/>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030E"/>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1CE3"/>
    <w:rsid w:val="00AD212C"/>
    <w:rsid w:val="00AD4CA1"/>
    <w:rsid w:val="00AD4EF8"/>
    <w:rsid w:val="00AD703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28D"/>
    <w:rsid w:val="00B017CA"/>
    <w:rsid w:val="00B02EF4"/>
    <w:rsid w:val="00B02F77"/>
    <w:rsid w:val="00B056DD"/>
    <w:rsid w:val="00B1114E"/>
    <w:rsid w:val="00B1292D"/>
    <w:rsid w:val="00B12E01"/>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073"/>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72E7"/>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4D1E"/>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3B1"/>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00EE"/>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4C5"/>
    <w:rsid w:val="00D47FEA"/>
    <w:rsid w:val="00D50C8D"/>
    <w:rsid w:val="00D51077"/>
    <w:rsid w:val="00D5350F"/>
    <w:rsid w:val="00D549E9"/>
    <w:rsid w:val="00D57549"/>
    <w:rsid w:val="00D579F3"/>
    <w:rsid w:val="00D60917"/>
    <w:rsid w:val="00D617FA"/>
    <w:rsid w:val="00D622F8"/>
    <w:rsid w:val="00D62B97"/>
    <w:rsid w:val="00D63435"/>
    <w:rsid w:val="00D63608"/>
    <w:rsid w:val="00D7078D"/>
    <w:rsid w:val="00D710C6"/>
    <w:rsid w:val="00D74DEF"/>
    <w:rsid w:val="00D76A86"/>
    <w:rsid w:val="00D834C7"/>
    <w:rsid w:val="00D86641"/>
    <w:rsid w:val="00D91E7D"/>
    <w:rsid w:val="00D9271D"/>
    <w:rsid w:val="00D942B7"/>
    <w:rsid w:val="00DA08B8"/>
    <w:rsid w:val="00DA0E2A"/>
    <w:rsid w:val="00DA1A94"/>
    <w:rsid w:val="00DA1DEE"/>
    <w:rsid w:val="00DA3A8D"/>
    <w:rsid w:val="00DA5343"/>
    <w:rsid w:val="00DA5698"/>
    <w:rsid w:val="00DB39F3"/>
    <w:rsid w:val="00DB58E3"/>
    <w:rsid w:val="00DB63AF"/>
    <w:rsid w:val="00DB6AE5"/>
    <w:rsid w:val="00DC056D"/>
    <w:rsid w:val="00DC1D34"/>
    <w:rsid w:val="00DC43E4"/>
    <w:rsid w:val="00DC44B8"/>
    <w:rsid w:val="00DC48F2"/>
    <w:rsid w:val="00DC51A0"/>
    <w:rsid w:val="00DC7DBC"/>
    <w:rsid w:val="00DD0C1E"/>
    <w:rsid w:val="00DD14C7"/>
    <w:rsid w:val="00DD17DF"/>
    <w:rsid w:val="00DD2A4B"/>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DF4CCB"/>
    <w:rsid w:val="00E00F86"/>
    <w:rsid w:val="00E0170A"/>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AE9"/>
    <w:rsid w:val="00E47FA2"/>
    <w:rsid w:val="00E50535"/>
    <w:rsid w:val="00E514C7"/>
    <w:rsid w:val="00E53153"/>
    <w:rsid w:val="00E54712"/>
    <w:rsid w:val="00E6051D"/>
    <w:rsid w:val="00E608E0"/>
    <w:rsid w:val="00E61921"/>
    <w:rsid w:val="00E6222E"/>
    <w:rsid w:val="00E678AF"/>
    <w:rsid w:val="00E67BB4"/>
    <w:rsid w:val="00E70B06"/>
    <w:rsid w:val="00E713E5"/>
    <w:rsid w:val="00E718F4"/>
    <w:rsid w:val="00E71A35"/>
    <w:rsid w:val="00E71BA8"/>
    <w:rsid w:val="00E72D09"/>
    <w:rsid w:val="00E7491C"/>
    <w:rsid w:val="00E74F5B"/>
    <w:rsid w:val="00E74FA4"/>
    <w:rsid w:val="00E7608A"/>
    <w:rsid w:val="00E81866"/>
    <w:rsid w:val="00E85212"/>
    <w:rsid w:val="00E86980"/>
    <w:rsid w:val="00E92037"/>
    <w:rsid w:val="00E94F58"/>
    <w:rsid w:val="00E95009"/>
    <w:rsid w:val="00E9764E"/>
    <w:rsid w:val="00EA0E67"/>
    <w:rsid w:val="00EA12B6"/>
    <w:rsid w:val="00EA4EFE"/>
    <w:rsid w:val="00EA52CD"/>
    <w:rsid w:val="00EA5949"/>
    <w:rsid w:val="00EA794B"/>
    <w:rsid w:val="00EB0E3F"/>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36D"/>
    <w:rsid w:val="00EF7DD2"/>
    <w:rsid w:val="00F0069E"/>
    <w:rsid w:val="00F01F3D"/>
    <w:rsid w:val="00F0213A"/>
    <w:rsid w:val="00F02E07"/>
    <w:rsid w:val="00F038FE"/>
    <w:rsid w:val="00F04726"/>
    <w:rsid w:val="00F126D5"/>
    <w:rsid w:val="00F12E39"/>
    <w:rsid w:val="00F130F3"/>
    <w:rsid w:val="00F13825"/>
    <w:rsid w:val="00F14557"/>
    <w:rsid w:val="00F155D2"/>
    <w:rsid w:val="00F164EC"/>
    <w:rsid w:val="00F2069B"/>
    <w:rsid w:val="00F21E43"/>
    <w:rsid w:val="00F2471B"/>
    <w:rsid w:val="00F2544F"/>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7055"/>
    <w:rsid w:val="00FD0406"/>
    <w:rsid w:val="00FD0EB1"/>
    <w:rsid w:val="00FD7997"/>
    <w:rsid w:val="00FD7F8E"/>
    <w:rsid w:val="00FE1366"/>
    <w:rsid w:val="00FE154A"/>
    <w:rsid w:val="00FE2F8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3AD47-6582-4268-A2C8-F0939F1E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5194</Words>
  <Characters>29606</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2015-03-29T19:25:00Z</dcterms:created>
  <dcterms:modified xsi:type="dcterms:W3CDTF">2015-03-29T19:26:00Z</dcterms:modified>
</cp:coreProperties>
</file>